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C7D8" w14:textId="37051174" w:rsidR="00312059" w:rsidRPr="004F345B" w:rsidRDefault="00312059" w:rsidP="005E4568">
      <w:pPr>
        <w:spacing w:line="276" w:lineRule="auto"/>
        <w:rPr>
          <w:rFonts w:cstheme="minorHAnsi"/>
          <w:b/>
          <w:bCs/>
        </w:rPr>
      </w:pPr>
      <w:r w:rsidRPr="004F345B">
        <w:rPr>
          <w:rFonts w:cstheme="minorHAnsi"/>
          <w:b/>
          <w:bCs/>
        </w:rPr>
        <w:t xml:space="preserve">Strategies for </w:t>
      </w:r>
      <w:r w:rsidR="00C90D0E" w:rsidRPr="004F345B">
        <w:rPr>
          <w:rFonts w:cstheme="minorHAnsi"/>
          <w:b/>
          <w:bCs/>
        </w:rPr>
        <w:t>enabling and facilitating</w:t>
      </w:r>
      <w:r w:rsidRPr="004F345B">
        <w:rPr>
          <w:rFonts w:cstheme="minorHAnsi"/>
          <w:b/>
          <w:bCs/>
        </w:rPr>
        <w:t xml:space="preserve"> access to midwife-led </w:t>
      </w:r>
      <w:r w:rsidR="00714C7F" w:rsidRPr="004F345B">
        <w:rPr>
          <w:rFonts w:cstheme="minorHAnsi"/>
          <w:b/>
          <w:bCs/>
        </w:rPr>
        <w:t xml:space="preserve">birth settings </w:t>
      </w:r>
      <w:r w:rsidRPr="004F345B">
        <w:rPr>
          <w:rFonts w:cstheme="minorHAnsi"/>
          <w:b/>
          <w:bCs/>
        </w:rPr>
        <w:t xml:space="preserve">for </w:t>
      </w:r>
      <w:r w:rsidR="00532552" w:rsidRPr="004F345B">
        <w:rPr>
          <w:rFonts w:cstheme="minorHAnsi"/>
          <w:b/>
          <w:bCs/>
        </w:rPr>
        <w:t>racialised women</w:t>
      </w:r>
      <w:r w:rsidRPr="004F345B">
        <w:rPr>
          <w:rFonts w:cstheme="minorHAnsi"/>
          <w:b/>
          <w:bCs/>
        </w:rPr>
        <w:t xml:space="preserve"> in the UK: A scoping review</w:t>
      </w:r>
      <w:r w:rsidR="00C9325E" w:rsidRPr="004F345B">
        <w:rPr>
          <w:rFonts w:cstheme="minorHAnsi"/>
          <w:b/>
          <w:bCs/>
        </w:rPr>
        <w:t xml:space="preserve"> p</w:t>
      </w:r>
      <w:r w:rsidR="005E4568" w:rsidRPr="004F345B">
        <w:rPr>
          <w:rFonts w:cstheme="minorHAnsi"/>
          <w:b/>
          <w:bCs/>
        </w:rPr>
        <w:t xml:space="preserve">rotocol. </w:t>
      </w:r>
    </w:p>
    <w:p w14:paraId="01D41B73" w14:textId="77777777" w:rsidR="00312059" w:rsidRPr="004F345B" w:rsidRDefault="00312059" w:rsidP="005E4568">
      <w:pPr>
        <w:spacing w:line="276" w:lineRule="auto"/>
        <w:rPr>
          <w:rFonts w:eastAsia="Times New Roman" w:cstheme="minorHAnsi"/>
          <w:color w:val="000000"/>
          <w:lang w:eastAsia="en-GB"/>
        </w:rPr>
      </w:pPr>
    </w:p>
    <w:p w14:paraId="56C702CF" w14:textId="69C642A9" w:rsidR="003A6818" w:rsidRPr="004F345B" w:rsidRDefault="003A6818" w:rsidP="005E4568">
      <w:pPr>
        <w:spacing w:line="276" w:lineRule="auto"/>
        <w:rPr>
          <w:rFonts w:eastAsia="Times New Roman" w:cstheme="minorHAnsi"/>
          <w:color w:val="000000"/>
          <w:lang w:eastAsia="en-GB"/>
        </w:rPr>
      </w:pPr>
      <w:r w:rsidRPr="004F345B">
        <w:rPr>
          <w:rFonts w:cstheme="minorHAnsi"/>
        </w:rPr>
        <w:t>Anna Melamed, MSc student, Global Maternal Health</w:t>
      </w:r>
      <w:r w:rsidRPr="004F345B">
        <w:rPr>
          <w:rFonts w:eastAsia="Times New Roman" w:cstheme="minorHAnsi"/>
          <w:color w:val="000000"/>
          <w:lang w:eastAsia="en-GB"/>
        </w:rPr>
        <w:t>, City, University of London</w:t>
      </w:r>
    </w:p>
    <w:p w14:paraId="0C0733C9" w14:textId="0BEC06BE" w:rsidR="005E4568" w:rsidRPr="004F345B" w:rsidRDefault="69B5ACB1" w:rsidP="5056AED4">
      <w:pPr>
        <w:spacing w:line="276" w:lineRule="auto"/>
        <w:rPr>
          <w:rFonts w:eastAsia="Times New Roman"/>
          <w:color w:val="000000"/>
          <w:lang w:eastAsia="en-GB"/>
        </w:rPr>
      </w:pPr>
      <w:r w:rsidRPr="5056AED4">
        <w:t xml:space="preserve">Dr </w:t>
      </w:r>
      <w:r w:rsidR="003A6818" w:rsidRPr="5056AED4">
        <w:t xml:space="preserve">Marina </w:t>
      </w:r>
      <w:r w:rsidR="6D81A5C3" w:rsidRPr="5056AED4">
        <w:t xml:space="preserve">A. S. </w:t>
      </w:r>
      <w:r w:rsidR="003A6818" w:rsidRPr="5056AED4">
        <w:t xml:space="preserve">Daniele, </w:t>
      </w:r>
      <w:r w:rsidR="003A6818" w:rsidRPr="5056AED4">
        <w:rPr>
          <w:rFonts w:eastAsia="Times New Roman"/>
          <w:color w:val="000000" w:themeColor="text1"/>
          <w:lang w:eastAsia="en-GB"/>
        </w:rPr>
        <w:t>Lecturer in Midwifery, City, University of London</w:t>
      </w:r>
    </w:p>
    <w:p w14:paraId="64B1ED4C" w14:textId="2595DEC5" w:rsidR="00532552" w:rsidRPr="004F345B" w:rsidRDefault="00532552" w:rsidP="00BA41FC">
      <w:pPr>
        <w:spacing w:line="276" w:lineRule="auto"/>
        <w:rPr>
          <w:rFonts w:eastAsia="Times New Roman" w:cstheme="minorHAnsi"/>
          <w:color w:val="000000"/>
          <w:lang w:eastAsia="en-GB"/>
        </w:rPr>
      </w:pPr>
      <w:r w:rsidRPr="004F345B">
        <w:rPr>
          <w:rFonts w:eastAsia="Times New Roman" w:cstheme="minorHAnsi"/>
          <w:color w:val="000000"/>
          <w:lang w:eastAsia="en-GB"/>
        </w:rPr>
        <w:t>Prof Christine McCourt, Professor of Maternal and Child Health, City, University of London</w:t>
      </w:r>
    </w:p>
    <w:p w14:paraId="31B7C11B" w14:textId="7E922994" w:rsidR="00532552" w:rsidRPr="004F345B" w:rsidRDefault="00532552" w:rsidP="5056AED4">
      <w:pPr>
        <w:spacing w:line="276" w:lineRule="auto"/>
        <w:rPr>
          <w:rFonts w:eastAsia="Times New Roman"/>
          <w:color w:val="000000"/>
          <w:lang w:eastAsia="en-GB"/>
        </w:rPr>
      </w:pPr>
      <w:r w:rsidRPr="5056AED4">
        <w:rPr>
          <w:rFonts w:eastAsia="Times New Roman"/>
          <w:color w:val="000000" w:themeColor="text1"/>
          <w:lang w:eastAsia="en-GB"/>
        </w:rPr>
        <w:t>Dr Lucia Rocca-</w:t>
      </w:r>
      <w:proofErr w:type="spellStart"/>
      <w:r w:rsidRPr="5056AED4">
        <w:rPr>
          <w:rFonts w:eastAsia="Times New Roman"/>
          <w:color w:val="000000" w:themeColor="text1"/>
          <w:lang w:eastAsia="en-GB"/>
        </w:rPr>
        <w:t>Ihenacho</w:t>
      </w:r>
      <w:proofErr w:type="spellEnd"/>
      <w:r w:rsidRPr="5056AED4">
        <w:rPr>
          <w:rFonts w:eastAsia="Times New Roman"/>
          <w:color w:val="000000" w:themeColor="text1"/>
          <w:lang w:eastAsia="en-GB"/>
        </w:rPr>
        <w:t xml:space="preserve">, </w:t>
      </w:r>
      <w:r w:rsidR="1B512E1F" w:rsidRPr="5056AED4">
        <w:rPr>
          <w:rFonts w:eastAsia="Times New Roman"/>
          <w:color w:val="000000" w:themeColor="text1"/>
          <w:lang w:eastAsia="en-GB"/>
        </w:rPr>
        <w:t xml:space="preserve">Senior </w:t>
      </w:r>
      <w:r w:rsidRPr="5056AED4">
        <w:rPr>
          <w:rFonts w:eastAsia="Times New Roman"/>
          <w:color w:val="000000" w:themeColor="text1"/>
          <w:lang w:eastAsia="en-GB"/>
        </w:rPr>
        <w:t>Lecturer in Midwifery, City, University of London</w:t>
      </w:r>
    </w:p>
    <w:p w14:paraId="5E5B6AA3" w14:textId="2DC39ADD" w:rsidR="00532552" w:rsidRPr="004F345B" w:rsidRDefault="68E37539" w:rsidP="00532552">
      <w:pPr>
        <w:spacing w:line="276" w:lineRule="auto"/>
        <w:rPr>
          <w:rFonts w:eastAsia="Times New Roman" w:cstheme="minorHAnsi"/>
          <w:color w:val="000000"/>
          <w:lang w:eastAsia="en-GB"/>
        </w:rPr>
      </w:pPr>
      <w:r w:rsidRPr="5549FB28">
        <w:rPr>
          <w:rFonts w:eastAsia="Times New Roman"/>
          <w:color w:val="000000" w:themeColor="text1"/>
          <w:lang w:eastAsia="en-GB"/>
        </w:rPr>
        <w:t>Anna Horn, PhD Candidate, City, University of London</w:t>
      </w:r>
    </w:p>
    <w:p w14:paraId="2D3F9193" w14:textId="5F849B6A" w:rsidR="5549FB28" w:rsidRDefault="5549FB28" w:rsidP="5549FB28">
      <w:pPr>
        <w:shd w:val="clear" w:color="auto" w:fill="FFFFFF" w:themeFill="background1"/>
        <w:spacing w:beforeAutospacing="1" w:afterAutospacing="1" w:line="276" w:lineRule="auto"/>
        <w:rPr>
          <w:rFonts w:eastAsia="Times New Roman"/>
          <w:b/>
          <w:bCs/>
          <w:color w:val="000000" w:themeColor="text1"/>
          <w:lang w:eastAsia="en-GB"/>
        </w:rPr>
      </w:pPr>
    </w:p>
    <w:p w14:paraId="5A9827AA" w14:textId="11F2006E" w:rsidR="00216614" w:rsidRPr="004F345B" w:rsidRDefault="00737BEC" w:rsidP="005E4568">
      <w:pPr>
        <w:shd w:val="clear" w:color="auto" w:fill="FFFFFF"/>
        <w:spacing w:before="100" w:beforeAutospacing="1" w:after="100" w:afterAutospacing="1" w:line="276" w:lineRule="auto"/>
        <w:rPr>
          <w:rFonts w:eastAsia="Times New Roman" w:cstheme="minorHAnsi"/>
          <w:b/>
          <w:bCs/>
          <w:color w:val="000000" w:themeColor="text1"/>
          <w:lang w:eastAsia="en-GB"/>
        </w:rPr>
      </w:pPr>
      <w:r w:rsidRPr="004F345B">
        <w:rPr>
          <w:rFonts w:eastAsia="Times New Roman" w:cstheme="minorHAnsi"/>
          <w:b/>
          <w:bCs/>
          <w:color w:val="000000" w:themeColor="text1"/>
          <w:lang w:eastAsia="en-GB"/>
        </w:rPr>
        <w:t>O</w:t>
      </w:r>
      <w:r w:rsidR="00216614" w:rsidRPr="004F345B">
        <w:rPr>
          <w:rFonts w:eastAsia="Times New Roman" w:cstheme="minorHAnsi"/>
          <w:b/>
          <w:bCs/>
          <w:color w:val="000000" w:themeColor="text1"/>
          <w:lang w:eastAsia="en-GB"/>
        </w:rPr>
        <w:t>verall review objective</w:t>
      </w:r>
    </w:p>
    <w:p w14:paraId="49EE6A63" w14:textId="79AFF4F7" w:rsidR="5549FB28" w:rsidRPr="00E95EA4" w:rsidRDefault="68E37539" w:rsidP="5549FB28">
      <w:pPr>
        <w:spacing w:beforeAutospacing="1" w:afterAutospacing="1" w:line="276" w:lineRule="auto"/>
        <w:rPr>
          <w:color w:val="000000"/>
        </w:rPr>
      </w:pPr>
      <w:r w:rsidRPr="5056AED4">
        <w:rPr>
          <w:color w:val="000000" w:themeColor="text1"/>
        </w:rPr>
        <w:t xml:space="preserve">Racialised women </w:t>
      </w:r>
      <w:r w:rsidR="12B3F5D2" w:rsidRPr="5056AED4">
        <w:rPr>
          <w:color w:val="000000" w:themeColor="text1"/>
        </w:rPr>
        <w:t xml:space="preserve">and their babies have worse </w:t>
      </w:r>
      <w:r w:rsidR="706E89EC" w:rsidRPr="5056AED4">
        <w:rPr>
          <w:color w:val="000000" w:themeColor="text1"/>
        </w:rPr>
        <w:t xml:space="preserve">perinatal </w:t>
      </w:r>
      <w:r w:rsidR="12B3F5D2" w:rsidRPr="5056AED4">
        <w:rPr>
          <w:color w:val="000000" w:themeColor="text1"/>
        </w:rPr>
        <w:t>outcomes</w:t>
      </w:r>
      <w:r w:rsidR="11F682C0" w:rsidRPr="5056AED4">
        <w:rPr>
          <w:color w:val="000000" w:themeColor="text1"/>
        </w:rPr>
        <w:t xml:space="preserve"> (NPEU, 2020)</w:t>
      </w:r>
      <w:r w:rsidR="12B3F5D2" w:rsidRPr="5056AED4">
        <w:rPr>
          <w:color w:val="000000" w:themeColor="text1"/>
        </w:rPr>
        <w:t xml:space="preserve"> and worse experiences of maternity care than white women</w:t>
      </w:r>
      <w:r w:rsidR="25CC02B3" w:rsidRPr="5056AED4">
        <w:rPr>
          <w:color w:val="000000" w:themeColor="text1"/>
        </w:rPr>
        <w:t xml:space="preserve"> in the UK</w:t>
      </w:r>
      <w:r w:rsidR="12B3F5D2" w:rsidRPr="5056AED4">
        <w:rPr>
          <w:color w:val="000000" w:themeColor="text1"/>
        </w:rPr>
        <w:t xml:space="preserve"> (</w:t>
      </w:r>
      <w:r w:rsidR="5502A645" w:rsidRPr="5056AED4">
        <w:t>Peter and Wheeler, 2022</w:t>
      </w:r>
      <w:r w:rsidR="11F682C0" w:rsidRPr="5056AED4">
        <w:rPr>
          <w:color w:val="000000" w:themeColor="text1"/>
        </w:rPr>
        <w:t xml:space="preserve">, Birthrights, 2022, </w:t>
      </w:r>
      <w:proofErr w:type="spellStart"/>
      <w:r w:rsidR="11F682C0" w:rsidRPr="5056AED4">
        <w:rPr>
          <w:color w:val="000000" w:themeColor="text1"/>
        </w:rPr>
        <w:t>Gohir</w:t>
      </w:r>
      <w:proofErr w:type="spellEnd"/>
      <w:r w:rsidR="11F682C0" w:rsidRPr="5056AED4">
        <w:rPr>
          <w:color w:val="000000" w:themeColor="text1"/>
        </w:rPr>
        <w:t>, 2022</w:t>
      </w:r>
      <w:r w:rsidR="12B3F5D2" w:rsidRPr="5056AED4">
        <w:rPr>
          <w:color w:val="000000" w:themeColor="text1"/>
        </w:rPr>
        <w:t xml:space="preserve">). </w:t>
      </w:r>
      <w:r w:rsidR="65D46998" w:rsidRPr="5056AED4">
        <w:rPr>
          <w:color w:val="000000" w:themeColor="text1"/>
        </w:rPr>
        <w:t>It is well known that midwife</w:t>
      </w:r>
      <w:r w:rsidR="706E89EC" w:rsidRPr="5056AED4">
        <w:rPr>
          <w:color w:val="000000" w:themeColor="text1"/>
        </w:rPr>
        <w:t>-</w:t>
      </w:r>
      <w:r w:rsidR="65D46998" w:rsidRPr="5056AED4">
        <w:rPr>
          <w:color w:val="000000" w:themeColor="text1"/>
        </w:rPr>
        <w:t xml:space="preserve">led </w:t>
      </w:r>
      <w:r w:rsidRPr="5056AED4">
        <w:rPr>
          <w:color w:val="000000" w:themeColor="text1"/>
        </w:rPr>
        <w:t>birth settings</w:t>
      </w:r>
      <w:r w:rsidR="706E89EC" w:rsidRPr="5056AED4">
        <w:rPr>
          <w:color w:val="000000" w:themeColor="text1"/>
        </w:rPr>
        <w:t xml:space="preserve"> (ML</w:t>
      </w:r>
      <w:r w:rsidR="4BF8DB5D" w:rsidRPr="5056AED4">
        <w:rPr>
          <w:color w:val="000000" w:themeColor="text1"/>
        </w:rPr>
        <w:t>BS</w:t>
      </w:r>
      <w:r w:rsidR="706E89EC" w:rsidRPr="5056AED4">
        <w:rPr>
          <w:color w:val="000000" w:themeColor="text1"/>
        </w:rPr>
        <w:t>)</w:t>
      </w:r>
      <w:r w:rsidR="70D851F5" w:rsidRPr="5056AED4">
        <w:rPr>
          <w:color w:val="000000" w:themeColor="text1"/>
        </w:rPr>
        <w:t xml:space="preserve"> </w:t>
      </w:r>
      <w:r w:rsidR="706E89EC" w:rsidRPr="5056AED4">
        <w:rPr>
          <w:color w:val="000000" w:themeColor="text1"/>
        </w:rPr>
        <w:t>ha</w:t>
      </w:r>
      <w:r w:rsidR="70D851F5" w:rsidRPr="5056AED4">
        <w:rPr>
          <w:color w:val="000000" w:themeColor="text1"/>
        </w:rPr>
        <w:t>ve</w:t>
      </w:r>
      <w:r w:rsidR="65D46998" w:rsidRPr="5056AED4">
        <w:rPr>
          <w:color w:val="000000" w:themeColor="text1"/>
        </w:rPr>
        <w:t xml:space="preserve"> comparable or improved clinical outcomes</w:t>
      </w:r>
      <w:r w:rsidR="6EF0B390" w:rsidRPr="5056AED4">
        <w:rPr>
          <w:color w:val="000000" w:themeColor="text1"/>
        </w:rPr>
        <w:t xml:space="preserve"> (Scarf et al., 2018)</w:t>
      </w:r>
      <w:r w:rsidR="706E89EC" w:rsidRPr="5056AED4">
        <w:rPr>
          <w:color w:val="000000" w:themeColor="text1"/>
        </w:rPr>
        <w:t>,</w:t>
      </w:r>
      <w:r w:rsidR="65D46998" w:rsidRPr="5056AED4">
        <w:rPr>
          <w:color w:val="000000" w:themeColor="text1"/>
        </w:rPr>
        <w:t xml:space="preserve"> higher level of maternal satisfaction</w:t>
      </w:r>
      <w:r w:rsidR="706E89EC" w:rsidRPr="5056AED4">
        <w:rPr>
          <w:color w:val="000000" w:themeColor="text1"/>
        </w:rPr>
        <w:t xml:space="preserve"> </w:t>
      </w:r>
      <w:r w:rsidR="6EF0B390" w:rsidRPr="5056AED4">
        <w:rPr>
          <w:color w:val="000000" w:themeColor="text1"/>
        </w:rPr>
        <w:t>(</w:t>
      </w:r>
      <w:proofErr w:type="spellStart"/>
      <w:r w:rsidR="70D851F5" w:rsidRPr="5056AED4">
        <w:rPr>
          <w:color w:val="000000" w:themeColor="text1"/>
        </w:rPr>
        <w:t>Hodnett</w:t>
      </w:r>
      <w:proofErr w:type="spellEnd"/>
      <w:r w:rsidR="70D851F5" w:rsidRPr="5056AED4">
        <w:rPr>
          <w:color w:val="000000" w:themeColor="text1"/>
        </w:rPr>
        <w:t xml:space="preserve"> et al., 2010</w:t>
      </w:r>
      <w:r w:rsidR="6EF0B390" w:rsidRPr="5056AED4">
        <w:rPr>
          <w:color w:val="000000" w:themeColor="text1"/>
        </w:rPr>
        <w:t>)</w:t>
      </w:r>
      <w:r w:rsidR="706E89EC" w:rsidRPr="5056AED4">
        <w:rPr>
          <w:color w:val="000000" w:themeColor="text1"/>
        </w:rPr>
        <w:t xml:space="preserve">, and </w:t>
      </w:r>
      <w:r w:rsidR="5148ECEF" w:rsidRPr="5056AED4">
        <w:rPr>
          <w:color w:val="000000" w:themeColor="text1"/>
        </w:rPr>
        <w:t>can</w:t>
      </w:r>
      <w:r w:rsidR="706E89EC" w:rsidRPr="5056AED4">
        <w:rPr>
          <w:color w:val="000000" w:themeColor="text1"/>
        </w:rPr>
        <w:t xml:space="preserve"> offer woman-centred, culturally safe care</w:t>
      </w:r>
      <w:r w:rsidR="65D46998" w:rsidRPr="5056AED4">
        <w:rPr>
          <w:color w:val="000000" w:themeColor="text1"/>
        </w:rPr>
        <w:t xml:space="preserve"> </w:t>
      </w:r>
      <w:r w:rsidR="6EF0B390" w:rsidRPr="5056AED4">
        <w:rPr>
          <w:color w:val="000000" w:themeColor="text1"/>
        </w:rPr>
        <w:t>(Rogers et al., 2020)</w:t>
      </w:r>
      <w:r w:rsidR="706E89EC" w:rsidRPr="5056AED4">
        <w:rPr>
          <w:color w:val="000000" w:themeColor="text1"/>
        </w:rPr>
        <w:t xml:space="preserve"> when compared to obstetric-led care</w:t>
      </w:r>
      <w:r w:rsidR="70D851F5" w:rsidRPr="5056AED4">
        <w:rPr>
          <w:color w:val="000000" w:themeColor="text1"/>
        </w:rPr>
        <w:t xml:space="preserve"> settings</w:t>
      </w:r>
      <w:r w:rsidR="65D46998" w:rsidRPr="5056AED4">
        <w:rPr>
          <w:color w:val="000000" w:themeColor="text1"/>
        </w:rPr>
        <w:t xml:space="preserve">. </w:t>
      </w:r>
      <w:r w:rsidRPr="5056AED4">
        <w:rPr>
          <w:color w:val="000000" w:themeColor="text1"/>
        </w:rPr>
        <w:t>MLBS</w:t>
      </w:r>
      <w:r w:rsidR="688FFEBB" w:rsidRPr="5056AED4">
        <w:rPr>
          <w:color w:val="000000" w:themeColor="text1"/>
        </w:rPr>
        <w:t xml:space="preserve"> could </w:t>
      </w:r>
      <w:r w:rsidR="5148ECEF" w:rsidRPr="5056AED4">
        <w:rPr>
          <w:color w:val="000000" w:themeColor="text1"/>
        </w:rPr>
        <w:t xml:space="preserve">improve </w:t>
      </w:r>
      <w:r w:rsidR="688FFEBB" w:rsidRPr="5056AED4">
        <w:rPr>
          <w:color w:val="000000" w:themeColor="text1"/>
        </w:rPr>
        <w:t>both outcomes and experience</w:t>
      </w:r>
      <w:r w:rsidR="5148ECEF" w:rsidRPr="5056AED4">
        <w:rPr>
          <w:color w:val="000000" w:themeColor="text1"/>
        </w:rPr>
        <w:t xml:space="preserve"> for </w:t>
      </w:r>
      <w:r w:rsidRPr="5056AED4">
        <w:rPr>
          <w:color w:val="000000" w:themeColor="text1"/>
        </w:rPr>
        <w:t>racialised</w:t>
      </w:r>
      <w:r w:rsidR="5148ECEF" w:rsidRPr="5056AED4">
        <w:rPr>
          <w:color w:val="000000" w:themeColor="text1"/>
        </w:rPr>
        <w:t xml:space="preserve"> </w:t>
      </w:r>
      <w:r w:rsidR="14BF92D7" w:rsidRPr="5056AED4">
        <w:rPr>
          <w:color w:val="000000" w:themeColor="text1"/>
        </w:rPr>
        <w:t xml:space="preserve">women </w:t>
      </w:r>
      <w:r w:rsidR="5148ECEF" w:rsidRPr="5056AED4">
        <w:rPr>
          <w:color w:val="000000" w:themeColor="text1"/>
        </w:rPr>
        <w:t>by</w:t>
      </w:r>
      <w:r w:rsidR="688FFEBB" w:rsidRPr="5056AED4">
        <w:rPr>
          <w:color w:val="000000" w:themeColor="text1"/>
        </w:rPr>
        <w:t xml:space="preserve"> offer</w:t>
      </w:r>
      <w:r w:rsidR="5148ECEF" w:rsidRPr="5056AED4">
        <w:rPr>
          <w:color w:val="000000" w:themeColor="text1"/>
        </w:rPr>
        <w:t>ing</w:t>
      </w:r>
      <w:r w:rsidR="688FFEBB" w:rsidRPr="5056AED4">
        <w:rPr>
          <w:color w:val="000000" w:themeColor="text1"/>
        </w:rPr>
        <w:t xml:space="preserve"> </w:t>
      </w:r>
      <w:proofErr w:type="gramStart"/>
      <w:r w:rsidR="1B26293B" w:rsidRPr="5056AED4">
        <w:rPr>
          <w:color w:val="000000" w:themeColor="text1"/>
        </w:rPr>
        <w:t xml:space="preserve">personalised </w:t>
      </w:r>
      <w:r w:rsidR="688FFEBB" w:rsidRPr="5056AED4">
        <w:rPr>
          <w:color w:val="000000" w:themeColor="text1"/>
        </w:rPr>
        <w:t>,</w:t>
      </w:r>
      <w:proofErr w:type="gramEnd"/>
      <w:r w:rsidR="688FFEBB" w:rsidRPr="5056AED4">
        <w:rPr>
          <w:color w:val="000000" w:themeColor="text1"/>
        </w:rPr>
        <w:t xml:space="preserve"> culturally appropriate and respectful care.  </w:t>
      </w:r>
      <w:r w:rsidR="65D46998" w:rsidRPr="5056AED4">
        <w:rPr>
          <w:color w:val="000000" w:themeColor="text1"/>
        </w:rPr>
        <w:t xml:space="preserve">This scoping review will investigate </w:t>
      </w:r>
      <w:r w:rsidR="706E89EC" w:rsidRPr="5056AED4">
        <w:rPr>
          <w:color w:val="000000" w:themeColor="text1"/>
        </w:rPr>
        <w:t>facilitators</w:t>
      </w:r>
      <w:r w:rsidRPr="5056AED4">
        <w:rPr>
          <w:color w:val="000000" w:themeColor="text1"/>
        </w:rPr>
        <w:t xml:space="preserve"> and</w:t>
      </w:r>
      <w:r w:rsidR="706E89EC" w:rsidRPr="5056AED4">
        <w:rPr>
          <w:color w:val="000000" w:themeColor="text1"/>
        </w:rPr>
        <w:t xml:space="preserve"> barriers</w:t>
      </w:r>
      <w:r w:rsidRPr="5056AED4">
        <w:rPr>
          <w:color w:val="000000" w:themeColor="text1"/>
        </w:rPr>
        <w:t xml:space="preserve"> to access </w:t>
      </w:r>
      <w:r w:rsidR="706E89EC" w:rsidRPr="5056AED4">
        <w:rPr>
          <w:color w:val="000000" w:themeColor="text1"/>
        </w:rPr>
        <w:t>to ML</w:t>
      </w:r>
      <w:r w:rsidRPr="5056AED4">
        <w:rPr>
          <w:color w:val="000000" w:themeColor="text1"/>
        </w:rPr>
        <w:t>BS</w:t>
      </w:r>
      <w:r w:rsidR="706E89EC" w:rsidRPr="5056AED4">
        <w:rPr>
          <w:color w:val="000000" w:themeColor="text1"/>
        </w:rPr>
        <w:t xml:space="preserve"> for </w:t>
      </w:r>
      <w:r w:rsidRPr="5056AED4">
        <w:rPr>
          <w:color w:val="000000" w:themeColor="text1"/>
        </w:rPr>
        <w:t>racialised women</w:t>
      </w:r>
      <w:r w:rsidR="706E89EC" w:rsidRPr="5056AED4">
        <w:rPr>
          <w:color w:val="000000" w:themeColor="text1"/>
        </w:rPr>
        <w:t xml:space="preserve"> in the UK</w:t>
      </w:r>
      <w:r w:rsidRPr="5056AED4">
        <w:rPr>
          <w:color w:val="000000" w:themeColor="text1"/>
        </w:rPr>
        <w:t xml:space="preserve"> and any successful interventions aimed at facilitating access.</w:t>
      </w:r>
    </w:p>
    <w:p w14:paraId="35782A97" w14:textId="52EF720D" w:rsidR="00216614" w:rsidRPr="004F345B" w:rsidRDefault="00737BEC" w:rsidP="5056AED4">
      <w:pPr>
        <w:shd w:val="clear" w:color="auto" w:fill="FFFFFF" w:themeFill="background1"/>
        <w:spacing w:before="100" w:beforeAutospacing="1" w:after="100" w:afterAutospacing="1" w:line="276" w:lineRule="auto"/>
        <w:rPr>
          <w:rFonts w:eastAsia="Times New Roman"/>
          <w:b/>
          <w:bCs/>
          <w:color w:val="000000" w:themeColor="text1"/>
          <w:lang w:eastAsia="en-GB"/>
        </w:rPr>
      </w:pPr>
      <w:r w:rsidRPr="5056AED4">
        <w:rPr>
          <w:rFonts w:eastAsia="Times New Roman"/>
          <w:b/>
          <w:bCs/>
          <w:color w:val="000000" w:themeColor="text1"/>
          <w:lang w:eastAsia="en-GB"/>
        </w:rPr>
        <w:t>D</w:t>
      </w:r>
      <w:r w:rsidR="00216614" w:rsidRPr="5056AED4">
        <w:rPr>
          <w:rFonts w:eastAsia="Times New Roman"/>
          <w:b/>
          <w:bCs/>
          <w:color w:val="000000" w:themeColor="text1"/>
          <w:lang w:eastAsia="en-GB"/>
        </w:rPr>
        <w:t>efinitions</w:t>
      </w:r>
    </w:p>
    <w:p w14:paraId="53215314" w14:textId="6E55A4EF" w:rsidR="5549FB28" w:rsidRPr="00E95EA4" w:rsidRDefault="13B1F428" w:rsidP="5549FB28">
      <w:pPr>
        <w:spacing w:beforeAutospacing="1" w:afterAutospacing="1" w:line="276" w:lineRule="auto"/>
        <w:rPr>
          <w:color w:val="000000"/>
        </w:rPr>
      </w:pPr>
      <w:r w:rsidRPr="5056AED4">
        <w:rPr>
          <w:color w:val="000000" w:themeColor="text1"/>
        </w:rPr>
        <w:t>We use the</w:t>
      </w:r>
      <w:r w:rsidR="68E37539" w:rsidRPr="5056AED4">
        <w:rPr>
          <w:color w:val="000000" w:themeColor="text1"/>
        </w:rPr>
        <w:t xml:space="preserve"> term </w:t>
      </w:r>
      <w:r w:rsidR="198C9B05" w:rsidRPr="5056AED4">
        <w:rPr>
          <w:color w:val="000000" w:themeColor="text1"/>
        </w:rPr>
        <w:t>“</w:t>
      </w:r>
      <w:r w:rsidR="68E37539" w:rsidRPr="5056AED4">
        <w:rPr>
          <w:color w:val="000000" w:themeColor="text1"/>
        </w:rPr>
        <w:t xml:space="preserve">racialised </w:t>
      </w:r>
      <w:r w:rsidR="733E5A0D" w:rsidRPr="5056AED4">
        <w:rPr>
          <w:color w:val="000000" w:themeColor="text1"/>
        </w:rPr>
        <w:t>women</w:t>
      </w:r>
      <w:r w:rsidR="2752EDC8" w:rsidRPr="5056AED4">
        <w:rPr>
          <w:color w:val="000000" w:themeColor="text1"/>
        </w:rPr>
        <w:t>”</w:t>
      </w:r>
      <w:r w:rsidR="733E5A0D" w:rsidRPr="5056AED4">
        <w:rPr>
          <w:color w:val="000000" w:themeColor="text1"/>
        </w:rPr>
        <w:t xml:space="preserve"> </w:t>
      </w:r>
      <w:r w:rsidR="68E37539" w:rsidRPr="5056AED4">
        <w:rPr>
          <w:color w:val="000000" w:themeColor="text1"/>
        </w:rPr>
        <w:t>to encompass</w:t>
      </w:r>
      <w:r w:rsidRPr="5056AED4">
        <w:rPr>
          <w:color w:val="000000" w:themeColor="text1"/>
        </w:rPr>
        <w:t xml:space="preserve"> black</w:t>
      </w:r>
      <w:r w:rsidR="68E37539" w:rsidRPr="5056AED4">
        <w:rPr>
          <w:color w:val="000000" w:themeColor="text1"/>
        </w:rPr>
        <w:t xml:space="preserve"> and</w:t>
      </w:r>
      <w:r w:rsidRPr="5056AED4">
        <w:rPr>
          <w:color w:val="000000" w:themeColor="text1"/>
        </w:rPr>
        <w:t xml:space="preserve"> brown women</w:t>
      </w:r>
      <w:r w:rsidR="432522F3" w:rsidRPr="5056AED4">
        <w:rPr>
          <w:color w:val="000000" w:themeColor="text1"/>
        </w:rPr>
        <w:t xml:space="preserve"> and birthing people</w:t>
      </w:r>
      <w:r w:rsidR="68E37539" w:rsidRPr="5056AED4">
        <w:rPr>
          <w:color w:val="000000" w:themeColor="text1"/>
        </w:rPr>
        <w:t>, and other women</w:t>
      </w:r>
      <w:r w:rsidR="7349D29F" w:rsidRPr="5056AED4">
        <w:rPr>
          <w:color w:val="000000" w:themeColor="text1"/>
        </w:rPr>
        <w:t xml:space="preserve"> and birthing people</w:t>
      </w:r>
      <w:r w:rsidR="68E37539" w:rsidRPr="5056AED4">
        <w:rPr>
          <w:color w:val="000000" w:themeColor="text1"/>
        </w:rPr>
        <w:t xml:space="preserve"> racialised by </w:t>
      </w:r>
      <w:r w:rsidR="7A31381B" w:rsidRPr="5056AED4">
        <w:rPr>
          <w:color w:val="000000" w:themeColor="text1"/>
        </w:rPr>
        <w:t xml:space="preserve">British </w:t>
      </w:r>
      <w:r w:rsidR="68E37539" w:rsidRPr="5056AED4">
        <w:rPr>
          <w:color w:val="000000" w:themeColor="text1"/>
        </w:rPr>
        <w:t>society</w:t>
      </w:r>
      <w:r w:rsidR="361B222E" w:rsidRPr="5056AED4">
        <w:rPr>
          <w:rFonts w:ascii="Segoe UI Historic" w:eastAsia="Segoe UI Historic" w:hAnsi="Segoe UI Historic" w:cs="Segoe UI Historic"/>
          <w:color w:val="050505"/>
          <w:sz w:val="22"/>
          <w:szCs w:val="22"/>
        </w:rPr>
        <w:t>.</w:t>
      </w:r>
      <w:r w:rsidR="3FC20474" w:rsidRPr="5056AED4">
        <w:rPr>
          <w:rFonts w:ascii="Segoe UI Historic" w:eastAsia="Segoe UI Historic" w:hAnsi="Segoe UI Historic" w:cs="Segoe UI Historic"/>
          <w:color w:val="050505"/>
          <w:sz w:val="22"/>
          <w:szCs w:val="22"/>
        </w:rPr>
        <w:t xml:space="preserve"> </w:t>
      </w:r>
      <w:r w:rsidR="2BA2E5B3" w:rsidRPr="5056AED4">
        <w:rPr>
          <w:color w:val="000000" w:themeColor="text1"/>
        </w:rPr>
        <w:t xml:space="preserve">Midwife-led </w:t>
      </w:r>
      <w:r w:rsidR="6B46FFDE" w:rsidRPr="5056AED4">
        <w:rPr>
          <w:color w:val="000000" w:themeColor="text1"/>
        </w:rPr>
        <w:t xml:space="preserve">birth settings </w:t>
      </w:r>
      <w:r w:rsidR="326CC79E" w:rsidRPr="5056AED4">
        <w:rPr>
          <w:color w:val="000000" w:themeColor="text1"/>
        </w:rPr>
        <w:t>include</w:t>
      </w:r>
      <w:r w:rsidR="2BA2E5B3" w:rsidRPr="5056AED4">
        <w:rPr>
          <w:color w:val="000000" w:themeColor="text1"/>
        </w:rPr>
        <w:t xml:space="preserve"> the home</w:t>
      </w:r>
      <w:r w:rsidR="5148ECEF" w:rsidRPr="5056AED4">
        <w:rPr>
          <w:color w:val="000000" w:themeColor="text1"/>
        </w:rPr>
        <w:t xml:space="preserve"> </w:t>
      </w:r>
      <w:r w:rsidR="37A5606D" w:rsidRPr="5056AED4">
        <w:rPr>
          <w:color w:val="000000" w:themeColor="text1"/>
        </w:rPr>
        <w:t>and</w:t>
      </w:r>
      <w:r w:rsidR="5148ECEF" w:rsidRPr="5056AED4">
        <w:rPr>
          <w:color w:val="000000" w:themeColor="text1"/>
        </w:rPr>
        <w:t xml:space="preserve"> alongside or freestanding</w:t>
      </w:r>
      <w:r w:rsidR="2BA2E5B3" w:rsidRPr="5056AED4">
        <w:rPr>
          <w:color w:val="000000" w:themeColor="text1"/>
        </w:rPr>
        <w:t xml:space="preserve"> </w:t>
      </w:r>
      <w:r w:rsidR="4355249B" w:rsidRPr="5056AED4">
        <w:rPr>
          <w:color w:val="000000" w:themeColor="text1"/>
        </w:rPr>
        <w:t>midwifery units</w:t>
      </w:r>
      <w:r w:rsidR="2B48F89A" w:rsidRPr="5056AED4">
        <w:rPr>
          <w:color w:val="000000" w:themeColor="text1"/>
        </w:rPr>
        <w:t xml:space="preserve"> defined as ‘</w:t>
      </w:r>
      <w:r w:rsidR="2B48F89A" w:rsidRPr="5056AED4">
        <w:rPr>
          <w:rFonts w:ascii="Calibri" w:eastAsia="Calibri" w:hAnsi="Calibri" w:cs="Calibri"/>
        </w:rPr>
        <w:t xml:space="preserve">a location offering maternity care to healthy women with straightforward pregnancies in which midwives take primary professional responsibility for care’ </w:t>
      </w:r>
      <w:r w:rsidR="49D02181" w:rsidRPr="5056AED4">
        <w:rPr>
          <w:rFonts w:ascii="Calibri" w:eastAsia="Calibri" w:hAnsi="Calibri" w:cs="Calibri"/>
        </w:rPr>
        <w:t>(Rocca-</w:t>
      </w:r>
      <w:proofErr w:type="spellStart"/>
      <w:r w:rsidR="49D02181" w:rsidRPr="5056AED4">
        <w:rPr>
          <w:rFonts w:ascii="Calibri" w:eastAsia="Calibri" w:hAnsi="Calibri" w:cs="Calibri"/>
        </w:rPr>
        <w:t>Ihenacho</w:t>
      </w:r>
      <w:proofErr w:type="spellEnd"/>
      <w:r w:rsidR="49D02181" w:rsidRPr="5056AED4">
        <w:rPr>
          <w:rFonts w:ascii="Calibri" w:eastAsia="Calibri" w:hAnsi="Calibri" w:cs="Calibri"/>
        </w:rPr>
        <w:t xml:space="preserve"> et al., 2018)</w:t>
      </w:r>
      <w:r w:rsidR="2BA2E5B3" w:rsidRPr="5056AED4">
        <w:rPr>
          <w:color w:val="000000" w:themeColor="text1"/>
        </w:rPr>
        <w:t xml:space="preserve">. </w:t>
      </w:r>
      <w:r w:rsidR="26365204" w:rsidRPr="5056AED4">
        <w:rPr>
          <w:color w:val="000000" w:themeColor="text1"/>
        </w:rPr>
        <w:t>They are based on</w:t>
      </w:r>
      <w:r w:rsidR="779AFD90" w:rsidRPr="5056AED4">
        <w:rPr>
          <w:color w:val="000000" w:themeColor="text1"/>
        </w:rPr>
        <w:t xml:space="preserve"> a</w:t>
      </w:r>
      <w:r w:rsidR="26365204" w:rsidRPr="5056AED4">
        <w:rPr>
          <w:color w:val="000000" w:themeColor="text1"/>
        </w:rPr>
        <w:t xml:space="preserve"> midwifery</w:t>
      </w:r>
      <w:r w:rsidR="2BA2E5B3" w:rsidRPr="5056AED4">
        <w:rPr>
          <w:color w:val="000000" w:themeColor="text1"/>
        </w:rPr>
        <w:t xml:space="preserve"> model of care </w:t>
      </w:r>
      <w:r w:rsidR="3509E090" w:rsidRPr="5056AED4">
        <w:rPr>
          <w:color w:val="000000" w:themeColor="text1"/>
        </w:rPr>
        <w:t xml:space="preserve">with a defined scope of practice </w:t>
      </w:r>
      <w:r w:rsidR="101C5658" w:rsidRPr="5056AED4">
        <w:rPr>
          <w:color w:val="000000" w:themeColor="text1"/>
        </w:rPr>
        <w:t>(International Confederation of Midwives, 2019)</w:t>
      </w:r>
      <w:r w:rsidR="2BA2E5B3" w:rsidRPr="5056AED4">
        <w:rPr>
          <w:color w:val="000000" w:themeColor="text1"/>
        </w:rPr>
        <w:t xml:space="preserve">. Access can be understood as those who use the </w:t>
      </w:r>
      <w:r w:rsidR="3509E090" w:rsidRPr="5056AED4">
        <w:rPr>
          <w:color w:val="000000" w:themeColor="text1"/>
        </w:rPr>
        <w:t>service or</w:t>
      </w:r>
      <w:r w:rsidR="101C5658" w:rsidRPr="5056AED4">
        <w:rPr>
          <w:color w:val="000000" w:themeColor="text1"/>
        </w:rPr>
        <w:t xml:space="preserve"> understand themselves to be </w:t>
      </w:r>
      <w:r w:rsidR="3509E090" w:rsidRPr="5056AED4">
        <w:rPr>
          <w:color w:val="000000" w:themeColor="text1"/>
        </w:rPr>
        <w:t>fully able to. B</w:t>
      </w:r>
      <w:r w:rsidR="2BA2E5B3" w:rsidRPr="5056AED4">
        <w:rPr>
          <w:color w:val="000000" w:themeColor="text1"/>
        </w:rPr>
        <w:t xml:space="preserve">arriers can be institutional, economic, </w:t>
      </w:r>
      <w:r w:rsidR="54A647AB" w:rsidRPr="5056AED4">
        <w:rPr>
          <w:color w:val="000000" w:themeColor="text1"/>
        </w:rPr>
        <w:t>medical (including pathologisation and iatrogenic causes), geographical</w:t>
      </w:r>
      <w:r w:rsidR="6325C381" w:rsidRPr="5056AED4">
        <w:rPr>
          <w:color w:val="000000" w:themeColor="text1"/>
        </w:rPr>
        <w:t xml:space="preserve">, </w:t>
      </w:r>
      <w:r w:rsidR="5502A645" w:rsidRPr="5056AED4">
        <w:rPr>
          <w:color w:val="000000" w:themeColor="text1"/>
        </w:rPr>
        <w:t>workplace cultures</w:t>
      </w:r>
      <w:r w:rsidR="54A647AB" w:rsidRPr="5056AED4">
        <w:rPr>
          <w:color w:val="000000" w:themeColor="text1"/>
        </w:rPr>
        <w:t xml:space="preserve"> and others. </w:t>
      </w:r>
    </w:p>
    <w:p w14:paraId="603203DC" w14:textId="1695D13C" w:rsidR="00216614" w:rsidRPr="004F345B" w:rsidRDefault="00737BEC" w:rsidP="005E4568">
      <w:pPr>
        <w:shd w:val="clear" w:color="auto" w:fill="FFFFFF"/>
        <w:spacing w:before="100" w:beforeAutospacing="1" w:after="100" w:afterAutospacing="1" w:line="276" w:lineRule="auto"/>
        <w:rPr>
          <w:rFonts w:eastAsia="Times New Roman" w:cstheme="minorHAnsi"/>
          <w:b/>
          <w:bCs/>
          <w:color w:val="000000" w:themeColor="text1"/>
          <w:lang w:eastAsia="en-GB"/>
        </w:rPr>
      </w:pPr>
      <w:r w:rsidRPr="004F345B">
        <w:rPr>
          <w:rFonts w:eastAsia="Times New Roman" w:cstheme="minorHAnsi"/>
          <w:b/>
          <w:bCs/>
          <w:color w:val="000000" w:themeColor="text1"/>
          <w:lang w:eastAsia="en-GB"/>
        </w:rPr>
        <w:t>D</w:t>
      </w:r>
      <w:r w:rsidR="00216614" w:rsidRPr="004F345B">
        <w:rPr>
          <w:rFonts w:eastAsia="Times New Roman" w:cstheme="minorHAnsi"/>
          <w:b/>
          <w:bCs/>
          <w:color w:val="000000" w:themeColor="text1"/>
          <w:lang w:eastAsia="en-GB"/>
        </w:rPr>
        <w:t>etails of any preliminary searches undertaken</w:t>
      </w:r>
    </w:p>
    <w:p w14:paraId="41279373" w14:textId="66A552BE" w:rsidR="5549FB28" w:rsidRPr="00E95EA4" w:rsidRDefault="2BA2E5B3" w:rsidP="5549FB28">
      <w:pPr>
        <w:spacing w:beforeAutospacing="1" w:afterAutospacing="1" w:line="276" w:lineRule="auto"/>
        <w:rPr>
          <w:rFonts w:cstheme="minorHAnsi"/>
          <w:color w:val="000000"/>
        </w:rPr>
      </w:pPr>
      <w:r w:rsidRPr="5549FB28">
        <w:rPr>
          <w:color w:val="000000" w:themeColor="text1"/>
        </w:rPr>
        <w:t xml:space="preserve">A preliminary search in October 2022 of the </w:t>
      </w:r>
      <w:r w:rsidRPr="5549FB28">
        <w:t>PROSPERO database for systematic reviews</w:t>
      </w:r>
      <w:r w:rsidR="24173C7A" w:rsidRPr="5549FB28">
        <w:t xml:space="preserve"> </w:t>
      </w:r>
      <w:r w:rsidRPr="5549FB28">
        <w:rPr>
          <w:color w:val="000000" w:themeColor="text1"/>
        </w:rPr>
        <w:t>revealed no existing</w:t>
      </w:r>
      <w:r w:rsidR="24173C7A" w:rsidRPr="5549FB28">
        <w:rPr>
          <w:color w:val="000000" w:themeColor="text1"/>
        </w:rPr>
        <w:t xml:space="preserve"> or registered</w:t>
      </w:r>
      <w:r w:rsidRPr="5549FB28">
        <w:rPr>
          <w:color w:val="000000" w:themeColor="text1"/>
        </w:rPr>
        <w:t xml:space="preserve"> similar scoping or systematic review on </w:t>
      </w:r>
      <w:r w:rsidR="68E37539" w:rsidRPr="5549FB28">
        <w:rPr>
          <w:color w:val="000000" w:themeColor="text1"/>
        </w:rPr>
        <w:t>racialised women</w:t>
      </w:r>
      <w:r w:rsidRPr="5549FB28">
        <w:rPr>
          <w:color w:val="000000" w:themeColor="text1"/>
        </w:rPr>
        <w:t xml:space="preserve"> </w:t>
      </w:r>
      <w:r w:rsidRPr="5549FB28">
        <w:t xml:space="preserve">access to </w:t>
      </w:r>
      <w:r w:rsidR="68E37539" w:rsidRPr="5549FB28">
        <w:t>MLBS</w:t>
      </w:r>
      <w:r w:rsidRPr="5549FB28">
        <w:t>.</w:t>
      </w:r>
      <w:r w:rsidR="12B3F5D2" w:rsidRPr="5549FB28">
        <w:t xml:space="preserve"> A preliminary search using similar search terms</w:t>
      </w:r>
      <w:r w:rsidR="54A647AB" w:rsidRPr="5549FB28">
        <w:t xml:space="preserve"> </w:t>
      </w:r>
      <w:r w:rsidR="55E3D7E5" w:rsidRPr="5549FB28">
        <w:t>to those</w:t>
      </w:r>
      <w:r w:rsidR="54A647AB" w:rsidRPr="5549FB28">
        <w:t xml:space="preserve"> below</w:t>
      </w:r>
      <w:r w:rsidR="12B3F5D2" w:rsidRPr="5549FB28">
        <w:t xml:space="preserve"> in Ovid and </w:t>
      </w:r>
      <w:r w:rsidR="12B3F5D2" w:rsidRPr="5549FB28">
        <w:lastRenderedPageBreak/>
        <w:t>EBSCO host indicat</w:t>
      </w:r>
      <w:r w:rsidR="54A647AB" w:rsidRPr="5549FB28">
        <w:t>ed</w:t>
      </w:r>
      <w:r w:rsidR="12B3F5D2" w:rsidRPr="5549FB28">
        <w:t xml:space="preserve"> the search parameters are sufficiently specific and broad</w:t>
      </w:r>
      <w:r w:rsidR="1D71941F" w:rsidRPr="5549FB28">
        <w:t>.</w:t>
      </w:r>
      <w:r w:rsidR="70DB9F55" w:rsidRPr="5549FB28">
        <w:t xml:space="preserve"> </w:t>
      </w:r>
      <w:r w:rsidR="688FFEBB" w:rsidRPr="5549FB28">
        <w:rPr>
          <w:color w:val="000000" w:themeColor="text1"/>
        </w:rPr>
        <w:t>L</w:t>
      </w:r>
      <w:r w:rsidR="12B3F5D2" w:rsidRPr="5549FB28">
        <w:rPr>
          <w:color w:val="000000" w:themeColor="text1"/>
        </w:rPr>
        <w:t>imited</w:t>
      </w:r>
      <w:r w:rsidR="688FFEBB" w:rsidRPr="5549FB28">
        <w:rPr>
          <w:color w:val="000000" w:themeColor="text1"/>
        </w:rPr>
        <w:t xml:space="preserve"> specific</w:t>
      </w:r>
      <w:r w:rsidR="12B3F5D2" w:rsidRPr="5549FB28">
        <w:rPr>
          <w:color w:val="000000" w:themeColor="text1"/>
        </w:rPr>
        <w:t xml:space="preserve"> research on this subject </w:t>
      </w:r>
      <w:r w:rsidR="688FFEBB" w:rsidRPr="5549FB28">
        <w:rPr>
          <w:color w:val="000000" w:themeColor="text1"/>
        </w:rPr>
        <w:t xml:space="preserve">means </w:t>
      </w:r>
      <w:r w:rsidR="12B3F5D2" w:rsidRPr="5549FB28">
        <w:rPr>
          <w:color w:val="000000" w:themeColor="text1"/>
        </w:rPr>
        <w:t xml:space="preserve">a systematic review would not be </w:t>
      </w:r>
      <w:r w:rsidR="70DB9F55" w:rsidRPr="5549FB28">
        <w:rPr>
          <w:color w:val="000000" w:themeColor="text1"/>
        </w:rPr>
        <w:t>feasible</w:t>
      </w:r>
      <w:r w:rsidR="55E3D7E5" w:rsidRPr="5549FB28">
        <w:rPr>
          <w:color w:val="000000" w:themeColor="text1"/>
        </w:rPr>
        <w:t>, whereas</w:t>
      </w:r>
      <w:r w:rsidR="12B3F5D2" w:rsidRPr="5549FB28">
        <w:rPr>
          <w:color w:val="000000" w:themeColor="text1"/>
        </w:rPr>
        <w:t xml:space="preserve"> </w:t>
      </w:r>
      <w:r w:rsidR="55E3D7E5" w:rsidRPr="5549FB28">
        <w:rPr>
          <w:color w:val="000000" w:themeColor="text1"/>
        </w:rPr>
        <w:t>a</w:t>
      </w:r>
      <w:r w:rsidR="12B3F5D2" w:rsidRPr="5549FB28">
        <w:rPr>
          <w:color w:val="000000" w:themeColor="text1"/>
        </w:rPr>
        <w:t xml:space="preserve"> scoping review</w:t>
      </w:r>
      <w:r w:rsidR="18AF3B31" w:rsidRPr="5549FB28">
        <w:rPr>
          <w:color w:val="000000" w:themeColor="text1"/>
        </w:rPr>
        <w:t xml:space="preserve"> could yield useful results.</w:t>
      </w:r>
    </w:p>
    <w:p w14:paraId="443FEF8C" w14:textId="70B9F7CF" w:rsidR="00E11CF8" w:rsidRPr="004F345B" w:rsidRDefault="00E4762C" w:rsidP="005E4568">
      <w:pPr>
        <w:spacing w:beforeAutospacing="1" w:afterAutospacing="1" w:line="276" w:lineRule="auto"/>
        <w:rPr>
          <w:rFonts w:cstheme="minorHAnsi"/>
          <w:color w:val="000000"/>
        </w:rPr>
      </w:pPr>
      <w:r w:rsidRPr="004F345B">
        <w:rPr>
          <w:rFonts w:cstheme="minorHAnsi"/>
          <w:b/>
          <w:bCs/>
          <w:color w:val="000000"/>
        </w:rPr>
        <w:t>The problem</w:t>
      </w:r>
    </w:p>
    <w:p w14:paraId="6B34A322" w14:textId="4848E362" w:rsidR="00E11CF8" w:rsidRPr="004F345B" w:rsidRDefault="00532552" w:rsidP="005E4568">
      <w:pPr>
        <w:spacing w:beforeAutospacing="1" w:afterAutospacing="1" w:line="276" w:lineRule="auto"/>
        <w:rPr>
          <w:rFonts w:cstheme="minorHAnsi"/>
          <w:color w:val="000000"/>
        </w:rPr>
      </w:pPr>
      <w:r w:rsidRPr="004F345B">
        <w:rPr>
          <w:rFonts w:cstheme="minorHAnsi"/>
          <w:color w:val="000000"/>
        </w:rPr>
        <w:t>Racialised women</w:t>
      </w:r>
      <w:r w:rsidR="00F31157" w:rsidRPr="004F345B">
        <w:rPr>
          <w:rFonts w:cstheme="minorHAnsi"/>
          <w:color w:val="000000"/>
        </w:rPr>
        <w:t xml:space="preserve"> and their babies have worse perinatal outcomes (NPEU, 2020, Scarf et al., 2018) and worse experiences of maternity care than white women in the UK (</w:t>
      </w:r>
      <w:r w:rsidR="00443261" w:rsidRPr="00EE1BCE">
        <w:rPr>
          <w:rFonts w:cstheme="minorHAnsi"/>
        </w:rPr>
        <w:t>Peter</w:t>
      </w:r>
      <w:r w:rsidR="00443261">
        <w:rPr>
          <w:rFonts w:cstheme="minorHAnsi"/>
        </w:rPr>
        <w:t xml:space="preserve"> </w:t>
      </w:r>
      <w:r w:rsidR="00443261" w:rsidRPr="00EE1BCE">
        <w:rPr>
          <w:rFonts w:cstheme="minorHAnsi"/>
        </w:rPr>
        <w:t xml:space="preserve">and Wheeler, </w:t>
      </w:r>
      <w:r w:rsidR="00443261">
        <w:rPr>
          <w:rFonts w:cstheme="minorHAnsi"/>
        </w:rPr>
        <w:t>2022</w:t>
      </w:r>
      <w:r w:rsidR="00F31157" w:rsidRPr="004F345B">
        <w:rPr>
          <w:rFonts w:cstheme="minorHAnsi"/>
          <w:color w:val="000000"/>
        </w:rPr>
        <w:t xml:space="preserve">, Birthrights, 2022, </w:t>
      </w:r>
      <w:proofErr w:type="spellStart"/>
      <w:r w:rsidR="00F31157" w:rsidRPr="004F345B">
        <w:rPr>
          <w:rFonts w:cstheme="minorHAnsi"/>
          <w:color w:val="000000"/>
        </w:rPr>
        <w:t>Gohir</w:t>
      </w:r>
      <w:proofErr w:type="spellEnd"/>
      <w:r w:rsidR="00F31157" w:rsidRPr="004F345B">
        <w:rPr>
          <w:rFonts w:cstheme="minorHAnsi"/>
          <w:color w:val="000000"/>
        </w:rPr>
        <w:t xml:space="preserve">, 2022). </w:t>
      </w:r>
      <w:r w:rsidR="00795E1A" w:rsidRPr="004F345B">
        <w:rPr>
          <w:rFonts w:cstheme="minorHAnsi"/>
          <w:color w:val="000000"/>
        </w:rPr>
        <w:t>Increasing access</w:t>
      </w:r>
      <w:r w:rsidR="00F31157" w:rsidRPr="004F345B">
        <w:rPr>
          <w:rFonts w:cstheme="minorHAnsi"/>
          <w:color w:val="000000"/>
        </w:rPr>
        <w:t xml:space="preserve"> to </w:t>
      </w:r>
      <w:r w:rsidRPr="004F345B">
        <w:rPr>
          <w:rFonts w:cstheme="minorHAnsi"/>
          <w:color w:val="000000"/>
        </w:rPr>
        <w:t>MLBS</w:t>
      </w:r>
      <w:r w:rsidR="00795E1A" w:rsidRPr="004F345B">
        <w:rPr>
          <w:rFonts w:cstheme="minorHAnsi"/>
          <w:color w:val="000000"/>
        </w:rPr>
        <w:t xml:space="preserve"> could improve both the outcomes and experience of </w:t>
      </w:r>
      <w:r w:rsidRPr="004F345B">
        <w:rPr>
          <w:rFonts w:cstheme="minorHAnsi"/>
          <w:color w:val="000000"/>
        </w:rPr>
        <w:t>racialised women</w:t>
      </w:r>
      <w:r w:rsidR="00795E1A" w:rsidRPr="004F345B">
        <w:rPr>
          <w:rFonts w:cstheme="minorHAnsi"/>
          <w:color w:val="000000"/>
        </w:rPr>
        <w:t xml:space="preserve"> needing maternity care. </w:t>
      </w:r>
    </w:p>
    <w:p w14:paraId="59A16C4D" w14:textId="6F642ED8" w:rsidR="5549FB28" w:rsidRPr="00E95EA4" w:rsidRDefault="5502A645" w:rsidP="5549FB28">
      <w:pPr>
        <w:spacing w:beforeAutospacing="1" w:afterAutospacing="1" w:line="276" w:lineRule="auto"/>
        <w:rPr>
          <w:color w:val="000000"/>
        </w:rPr>
      </w:pPr>
      <w:r w:rsidRPr="7D505CF0">
        <w:rPr>
          <w:color w:val="000000" w:themeColor="text1"/>
        </w:rPr>
        <w:t>We found very little quantitative data regarding the use of MLBS by ethnicity, indicating a research gap. A</w:t>
      </w:r>
      <w:r w:rsidR="172DB923" w:rsidRPr="7D505CF0">
        <w:rPr>
          <w:color w:val="000000" w:themeColor="text1"/>
        </w:rPr>
        <w:t xml:space="preserve">cross the </w:t>
      </w:r>
      <w:r w:rsidRPr="7D505CF0">
        <w:rPr>
          <w:color w:val="000000" w:themeColor="text1"/>
        </w:rPr>
        <w:t xml:space="preserve">general </w:t>
      </w:r>
      <w:r w:rsidR="172DB923" w:rsidRPr="7D505CF0">
        <w:rPr>
          <w:color w:val="000000" w:themeColor="text1"/>
        </w:rPr>
        <w:t>population the u</w:t>
      </w:r>
      <w:r w:rsidR="7965044D" w:rsidRPr="7D505CF0">
        <w:rPr>
          <w:color w:val="000000" w:themeColor="text1"/>
        </w:rPr>
        <w:t xml:space="preserve">se of </w:t>
      </w:r>
      <w:r w:rsidR="68E37539" w:rsidRPr="7D505CF0">
        <w:rPr>
          <w:color w:val="000000" w:themeColor="text1"/>
        </w:rPr>
        <w:t>MLBS</w:t>
      </w:r>
      <w:r w:rsidR="7965044D" w:rsidRPr="7D505CF0">
        <w:rPr>
          <w:color w:val="000000" w:themeColor="text1"/>
        </w:rPr>
        <w:t xml:space="preserve"> for birth is</w:t>
      </w:r>
      <w:r w:rsidR="55E3D7E5" w:rsidRPr="7D505CF0">
        <w:rPr>
          <w:color w:val="000000" w:themeColor="text1"/>
        </w:rPr>
        <w:t xml:space="preserve"> at 12% (NHS England, 2021)</w:t>
      </w:r>
      <w:r w:rsidRPr="7D505CF0">
        <w:rPr>
          <w:color w:val="000000" w:themeColor="text1"/>
        </w:rPr>
        <w:t xml:space="preserve">; </w:t>
      </w:r>
      <w:r w:rsidR="55E3D7E5" w:rsidRPr="7D505CF0">
        <w:rPr>
          <w:color w:val="000000" w:themeColor="text1"/>
        </w:rPr>
        <w:t>much</w:t>
      </w:r>
      <w:r w:rsidR="7965044D" w:rsidRPr="7D505CF0">
        <w:rPr>
          <w:color w:val="000000" w:themeColor="text1"/>
        </w:rPr>
        <w:t xml:space="preserve"> lower than the potential 45% of all women at the start of labour (Sandall et al., 2014, Walsh et al., 2020)</w:t>
      </w:r>
      <w:r w:rsidRPr="7D505CF0">
        <w:rPr>
          <w:color w:val="000000" w:themeColor="text1"/>
        </w:rPr>
        <w:t xml:space="preserve">. </w:t>
      </w:r>
      <w:r w:rsidR="3299409C" w:rsidRPr="7D505CF0">
        <w:rPr>
          <w:color w:val="000000" w:themeColor="text1"/>
        </w:rPr>
        <w:t>The Birthplace study reveals a higher proportion of white affluent women accessing freestanding midwife</w:t>
      </w:r>
      <w:r w:rsidR="16B7F133" w:rsidRPr="7D505CF0">
        <w:rPr>
          <w:color w:val="000000" w:themeColor="text1"/>
        </w:rPr>
        <w:t>ry</w:t>
      </w:r>
      <w:r w:rsidR="3299409C" w:rsidRPr="7D505CF0">
        <w:rPr>
          <w:color w:val="000000" w:themeColor="text1"/>
        </w:rPr>
        <w:t xml:space="preserve"> units (Hollowell et al., 2015). </w:t>
      </w:r>
      <w:r w:rsidRPr="7D505CF0">
        <w:rPr>
          <w:color w:val="000000" w:themeColor="text1"/>
        </w:rPr>
        <w:t xml:space="preserve">Qualitative and anecdotal data suggests the low take up of MLBS may well be exacerbated for racialised women. </w:t>
      </w:r>
      <w:r w:rsidR="56B5F145" w:rsidRPr="7D505CF0">
        <w:t xml:space="preserve">There is growing evidence that </w:t>
      </w:r>
      <w:r w:rsidR="68E37539" w:rsidRPr="7D505CF0">
        <w:t>MLBS</w:t>
      </w:r>
      <w:r w:rsidR="56B5F145" w:rsidRPr="7D505CF0">
        <w:t xml:space="preserve"> </w:t>
      </w:r>
      <w:r w:rsidR="68E37539" w:rsidRPr="7D505CF0">
        <w:t>are</w:t>
      </w:r>
      <w:r w:rsidR="56B5F145" w:rsidRPr="7D505CF0">
        <w:t xml:space="preserve"> not offered or promoted to </w:t>
      </w:r>
      <w:r w:rsidR="68E37539" w:rsidRPr="7D505CF0">
        <w:t>racialised women</w:t>
      </w:r>
      <w:r w:rsidR="56B5F145" w:rsidRPr="7D505CF0">
        <w:t xml:space="preserve"> both on a structural </w:t>
      </w:r>
      <w:r w:rsidR="2E2FBA35" w:rsidRPr="7D505CF0">
        <w:t>and</w:t>
      </w:r>
      <w:r w:rsidR="56B5F145" w:rsidRPr="7D505CF0">
        <w:t xml:space="preserve"> individual</w:t>
      </w:r>
      <w:r w:rsidR="2E2FBA35" w:rsidRPr="7D505CF0">
        <w:t xml:space="preserve"> level by</w:t>
      </w:r>
      <w:r w:rsidR="56B5F145" w:rsidRPr="7D505CF0">
        <w:t xml:space="preserve"> health care professionals (Henderson, Gao and </w:t>
      </w:r>
      <w:proofErr w:type="spellStart"/>
      <w:r w:rsidR="56B5F145" w:rsidRPr="7D505CF0">
        <w:t>Redshaw</w:t>
      </w:r>
      <w:proofErr w:type="spellEnd"/>
      <w:r w:rsidR="56B5F145" w:rsidRPr="7D505CF0">
        <w:t xml:space="preserve">, 2013, McCourt et al., 2012). Research </w:t>
      </w:r>
      <w:r w:rsidRPr="7D505CF0">
        <w:t>on</w:t>
      </w:r>
      <w:r w:rsidR="335F8FAC" w:rsidRPr="7D505CF0">
        <w:t xml:space="preserve"> black</w:t>
      </w:r>
      <w:r w:rsidR="56B5F145" w:rsidRPr="7D505CF0">
        <w:t xml:space="preserve"> </w:t>
      </w:r>
      <w:r w:rsidR="335F8FAC" w:rsidRPr="7D505CF0">
        <w:t xml:space="preserve">and </w:t>
      </w:r>
      <w:r w:rsidR="2E2FBA35" w:rsidRPr="7D505CF0">
        <w:t xml:space="preserve">Muslim </w:t>
      </w:r>
      <w:r w:rsidRPr="7D505CF0">
        <w:t xml:space="preserve">women’s maternity care </w:t>
      </w:r>
      <w:r w:rsidR="335F8FAC" w:rsidRPr="7D505CF0">
        <w:t xml:space="preserve">revealed a lack of fully informed choice being offered </w:t>
      </w:r>
      <w:r w:rsidR="68E37539" w:rsidRPr="7D505CF0">
        <w:t>regarding</w:t>
      </w:r>
      <w:r w:rsidR="335F8FAC" w:rsidRPr="7D505CF0">
        <w:t xml:space="preserve"> place of birt</w:t>
      </w:r>
      <w:r w:rsidR="2E2FBA35" w:rsidRPr="7D505CF0">
        <w:t>h</w:t>
      </w:r>
      <w:r w:rsidRPr="7D505CF0">
        <w:t xml:space="preserve"> (Peter and Wheeler, 2022, </w:t>
      </w:r>
      <w:proofErr w:type="spellStart"/>
      <w:r w:rsidRPr="7D505CF0">
        <w:t>Gohir</w:t>
      </w:r>
      <w:proofErr w:type="spellEnd"/>
      <w:r w:rsidRPr="7D505CF0">
        <w:t>, 2022).</w:t>
      </w:r>
    </w:p>
    <w:p w14:paraId="73B56560" w14:textId="7165FCEB" w:rsidR="5549FB28" w:rsidRPr="00E95EA4" w:rsidRDefault="68E37539" w:rsidP="5549FB28">
      <w:pPr>
        <w:pStyle w:val="NormalWeb"/>
        <w:spacing w:line="276" w:lineRule="auto"/>
        <w:rPr>
          <w:rFonts w:asciiTheme="minorHAnsi" w:hAnsiTheme="minorHAnsi" w:cstheme="minorBidi"/>
        </w:rPr>
      </w:pPr>
      <w:r w:rsidRPr="5056AED4">
        <w:rPr>
          <w:rFonts w:asciiTheme="minorHAnsi" w:hAnsiTheme="minorHAnsi" w:cstheme="minorBidi"/>
          <w:color w:val="000000" w:themeColor="text1"/>
        </w:rPr>
        <w:t>Our</w:t>
      </w:r>
      <w:r w:rsidR="2FA5096F" w:rsidRPr="5056AED4">
        <w:rPr>
          <w:rFonts w:asciiTheme="minorHAnsi" w:hAnsiTheme="minorHAnsi" w:cstheme="minorBidi"/>
          <w:color w:val="000000" w:themeColor="text1"/>
        </w:rPr>
        <w:t xml:space="preserve"> research acknowledges existing</w:t>
      </w:r>
      <w:r w:rsidR="2690299C" w:rsidRPr="5056AED4">
        <w:rPr>
          <w:rFonts w:asciiTheme="minorHAnsi" w:hAnsiTheme="minorHAnsi" w:cstheme="minorBidi"/>
          <w:color w:val="000000" w:themeColor="text1"/>
        </w:rPr>
        <w:t xml:space="preserve"> evidence of</w:t>
      </w:r>
      <w:r w:rsidR="135D7865" w:rsidRPr="5056AED4">
        <w:rPr>
          <w:rFonts w:asciiTheme="minorHAnsi" w:hAnsiTheme="minorHAnsi" w:cstheme="minorBidi"/>
          <w:color w:val="000000" w:themeColor="text1"/>
        </w:rPr>
        <w:t xml:space="preserve"> i</w:t>
      </w:r>
      <w:r w:rsidR="7C9F436D" w:rsidRPr="5056AED4">
        <w:rPr>
          <w:rFonts w:asciiTheme="minorHAnsi" w:hAnsiTheme="minorHAnsi" w:cstheme="minorBidi"/>
          <w:color w:val="000000" w:themeColor="text1"/>
        </w:rPr>
        <w:t xml:space="preserve">nstitutional racism </w:t>
      </w:r>
      <w:r w:rsidR="2141E4FD" w:rsidRPr="5056AED4">
        <w:rPr>
          <w:rFonts w:asciiTheme="minorHAnsi" w:hAnsiTheme="minorHAnsi" w:cstheme="minorBidi"/>
          <w:color w:val="000000" w:themeColor="text1"/>
        </w:rPr>
        <w:t>in</w:t>
      </w:r>
      <w:r w:rsidR="7C9F436D" w:rsidRPr="5056AED4">
        <w:rPr>
          <w:rFonts w:asciiTheme="minorHAnsi" w:hAnsiTheme="minorHAnsi" w:cstheme="minorBidi"/>
          <w:color w:val="000000" w:themeColor="text1"/>
        </w:rPr>
        <w:t xml:space="preserve"> the NHS (</w:t>
      </w:r>
      <w:r w:rsidR="60D618A4" w:rsidRPr="5056AED4">
        <w:rPr>
          <w:rFonts w:asciiTheme="minorHAnsi" w:eastAsia="Calibri" w:hAnsiTheme="minorHAnsi" w:cstheme="minorBidi"/>
        </w:rPr>
        <w:t xml:space="preserve">Fernandez </w:t>
      </w:r>
      <w:proofErr w:type="spellStart"/>
      <w:r w:rsidR="60D618A4" w:rsidRPr="5056AED4">
        <w:rPr>
          <w:rFonts w:asciiTheme="minorHAnsi" w:eastAsia="Calibri" w:hAnsiTheme="minorHAnsi" w:cstheme="minorBidi"/>
        </w:rPr>
        <w:t>Turienzo</w:t>
      </w:r>
      <w:proofErr w:type="spellEnd"/>
      <w:r w:rsidR="60D618A4" w:rsidRPr="5056AED4">
        <w:rPr>
          <w:rFonts w:asciiTheme="minorHAnsi" w:eastAsia="Calibri" w:hAnsiTheme="minorHAnsi" w:cstheme="minorBidi"/>
        </w:rPr>
        <w:t xml:space="preserve"> et al., 2021, Taylor, 2020, </w:t>
      </w:r>
      <w:r w:rsidR="5502A645" w:rsidRPr="5056AED4">
        <w:rPr>
          <w:rFonts w:asciiTheme="minorHAnsi" w:hAnsiTheme="minorHAnsi" w:cstheme="minorBidi"/>
        </w:rPr>
        <w:t>Peter</w:t>
      </w:r>
      <w:r w:rsidR="5502A645" w:rsidRPr="5056AED4">
        <w:rPr>
          <w:rFonts w:cstheme="minorBidi"/>
        </w:rPr>
        <w:t xml:space="preserve"> </w:t>
      </w:r>
      <w:r w:rsidR="5502A645" w:rsidRPr="5056AED4">
        <w:rPr>
          <w:rFonts w:asciiTheme="minorHAnsi" w:hAnsiTheme="minorHAnsi" w:cstheme="minorBidi"/>
        </w:rPr>
        <w:t>and Wheeler, 2022</w:t>
      </w:r>
      <w:r w:rsidR="60D618A4" w:rsidRPr="5056AED4">
        <w:rPr>
          <w:rFonts w:asciiTheme="minorHAnsi" w:eastAsia="Calibri" w:hAnsiTheme="minorHAnsi" w:cstheme="minorBidi"/>
        </w:rPr>
        <w:t>, Birthrights, 2022</w:t>
      </w:r>
      <w:r w:rsidR="7C9F436D" w:rsidRPr="5056AED4">
        <w:rPr>
          <w:rFonts w:asciiTheme="minorHAnsi" w:hAnsiTheme="minorHAnsi" w:cstheme="minorBidi"/>
          <w:color w:val="000000" w:themeColor="text1"/>
        </w:rPr>
        <w:t>)</w:t>
      </w:r>
      <w:r w:rsidR="0B9A4AFF" w:rsidRPr="5056AED4">
        <w:rPr>
          <w:rFonts w:asciiTheme="minorHAnsi" w:hAnsiTheme="minorHAnsi" w:cstheme="minorBidi"/>
          <w:color w:val="000000" w:themeColor="text1"/>
        </w:rPr>
        <w:t>, which itself</w:t>
      </w:r>
      <w:r w:rsidR="7C9F436D" w:rsidRPr="5056AED4">
        <w:rPr>
          <w:rFonts w:asciiTheme="minorHAnsi" w:hAnsiTheme="minorHAnsi" w:cstheme="minorBidi"/>
          <w:color w:val="000000" w:themeColor="text1"/>
        </w:rPr>
        <w:t xml:space="preserve"> exacerbates and reinforces the material and social inequality </w:t>
      </w:r>
      <w:r w:rsidR="60D618A4" w:rsidRPr="5056AED4">
        <w:rPr>
          <w:rFonts w:asciiTheme="minorHAnsi" w:hAnsiTheme="minorHAnsi" w:cstheme="minorBidi"/>
          <w:color w:val="000000" w:themeColor="text1"/>
        </w:rPr>
        <w:t>prevalent</w:t>
      </w:r>
      <w:r w:rsidR="7C9F436D" w:rsidRPr="5056AED4">
        <w:rPr>
          <w:rFonts w:asciiTheme="minorHAnsi" w:hAnsiTheme="minorHAnsi" w:cstheme="minorBidi"/>
          <w:color w:val="000000" w:themeColor="text1"/>
        </w:rPr>
        <w:t xml:space="preserve"> in society</w:t>
      </w:r>
      <w:r w:rsidR="60D618A4" w:rsidRPr="5056AED4">
        <w:rPr>
          <w:rFonts w:asciiTheme="minorHAnsi" w:hAnsiTheme="minorHAnsi" w:cstheme="minorBidi"/>
          <w:color w:val="000000" w:themeColor="text1"/>
        </w:rPr>
        <w:t>; economic</w:t>
      </w:r>
      <w:r w:rsidR="7C9F436D" w:rsidRPr="5056AED4">
        <w:rPr>
          <w:rFonts w:asciiTheme="minorHAnsi" w:hAnsiTheme="minorHAnsi" w:cstheme="minorBidi"/>
          <w:color w:val="000000" w:themeColor="text1"/>
        </w:rPr>
        <w:t xml:space="preserve"> </w:t>
      </w:r>
      <w:r w:rsidR="2D725F99" w:rsidRPr="5056AED4">
        <w:rPr>
          <w:rFonts w:asciiTheme="minorHAnsi" w:eastAsia="Calibri" w:hAnsiTheme="minorHAnsi" w:cstheme="minorBidi"/>
        </w:rPr>
        <w:t xml:space="preserve">(Office for National Statistics, 2020), racist migration laws </w:t>
      </w:r>
      <w:r w:rsidR="67B2BC2F" w:rsidRPr="5056AED4">
        <w:rPr>
          <w:rFonts w:asciiTheme="minorHAnsi" w:eastAsia="Calibri" w:hAnsiTheme="minorHAnsi" w:cstheme="minorBidi"/>
        </w:rPr>
        <w:t>(Maternity Action, 2022)</w:t>
      </w:r>
      <w:r w:rsidR="2D725F99" w:rsidRPr="5056AED4">
        <w:rPr>
          <w:rFonts w:asciiTheme="minorHAnsi" w:eastAsia="Calibri" w:hAnsiTheme="minorHAnsi" w:cstheme="minorBidi"/>
        </w:rPr>
        <w:t xml:space="preserve">, </w:t>
      </w:r>
      <w:r w:rsidR="60D618A4" w:rsidRPr="5056AED4">
        <w:rPr>
          <w:rFonts w:asciiTheme="minorHAnsi" w:eastAsia="Calibri" w:hAnsiTheme="minorHAnsi" w:cstheme="minorBidi"/>
        </w:rPr>
        <w:t>language, social and cultural</w:t>
      </w:r>
      <w:r w:rsidR="1CDA79F1" w:rsidRPr="5056AED4">
        <w:rPr>
          <w:rFonts w:asciiTheme="minorHAnsi" w:eastAsia="Calibri" w:hAnsiTheme="minorHAnsi" w:cstheme="minorBidi"/>
        </w:rPr>
        <w:t xml:space="preserve"> inequalities</w:t>
      </w:r>
      <w:r w:rsidR="60D618A4" w:rsidRPr="5056AED4">
        <w:rPr>
          <w:rFonts w:asciiTheme="minorHAnsi" w:eastAsia="Calibri" w:hAnsiTheme="minorHAnsi" w:cstheme="minorBidi"/>
        </w:rPr>
        <w:t xml:space="preserve"> </w:t>
      </w:r>
      <w:r w:rsidR="2D725F99" w:rsidRPr="5056AED4">
        <w:rPr>
          <w:rFonts w:asciiTheme="minorHAnsi" w:eastAsia="Calibri" w:hAnsiTheme="minorHAnsi" w:cstheme="minorBidi"/>
        </w:rPr>
        <w:t>(Rogers et al., 2020)</w:t>
      </w:r>
      <w:r w:rsidR="60D618A4" w:rsidRPr="5056AED4">
        <w:rPr>
          <w:rFonts w:asciiTheme="minorHAnsi" w:eastAsia="Calibri" w:hAnsiTheme="minorHAnsi" w:cstheme="minorBidi"/>
        </w:rPr>
        <w:t xml:space="preserve">. </w:t>
      </w:r>
      <w:r w:rsidR="1CDA79F1" w:rsidRPr="5056AED4">
        <w:rPr>
          <w:rFonts w:asciiTheme="minorHAnsi" w:eastAsia="Calibri" w:hAnsiTheme="minorHAnsi" w:cstheme="minorBidi"/>
        </w:rPr>
        <w:t>A wom</w:t>
      </w:r>
      <w:r w:rsidR="1975A754" w:rsidRPr="5056AED4">
        <w:rPr>
          <w:rFonts w:asciiTheme="minorHAnsi" w:eastAsia="Calibri" w:hAnsiTheme="minorHAnsi" w:cstheme="minorBidi"/>
        </w:rPr>
        <w:t>a</w:t>
      </w:r>
      <w:r w:rsidR="1CDA79F1" w:rsidRPr="5056AED4">
        <w:rPr>
          <w:rFonts w:asciiTheme="minorHAnsi" w:eastAsia="Calibri" w:hAnsiTheme="minorHAnsi" w:cstheme="minorBidi"/>
        </w:rPr>
        <w:t>n’s experience of</w:t>
      </w:r>
      <w:r w:rsidR="60D618A4" w:rsidRPr="5056AED4">
        <w:rPr>
          <w:rFonts w:asciiTheme="minorHAnsi" w:eastAsia="Calibri" w:hAnsiTheme="minorHAnsi" w:cstheme="minorBidi"/>
        </w:rPr>
        <w:t xml:space="preserve"> </w:t>
      </w:r>
      <w:r w:rsidR="333618CE" w:rsidRPr="5056AED4">
        <w:rPr>
          <w:rFonts w:asciiTheme="minorHAnsi" w:eastAsia="Calibri" w:hAnsiTheme="minorHAnsi" w:cstheme="minorBidi"/>
        </w:rPr>
        <w:t>maternity</w:t>
      </w:r>
      <w:r w:rsidR="60D618A4" w:rsidRPr="5056AED4">
        <w:rPr>
          <w:rFonts w:asciiTheme="minorHAnsi" w:eastAsia="Calibri" w:hAnsiTheme="minorHAnsi" w:cstheme="minorBidi"/>
        </w:rPr>
        <w:t xml:space="preserve"> </w:t>
      </w:r>
      <w:r w:rsidR="333618CE" w:rsidRPr="5056AED4">
        <w:rPr>
          <w:rFonts w:asciiTheme="minorHAnsi" w:eastAsia="Calibri" w:hAnsiTheme="minorHAnsi" w:cstheme="minorBidi"/>
        </w:rPr>
        <w:t>services</w:t>
      </w:r>
      <w:r w:rsidR="60D618A4" w:rsidRPr="5056AED4">
        <w:rPr>
          <w:rFonts w:asciiTheme="minorHAnsi" w:eastAsia="Calibri" w:hAnsiTheme="minorHAnsi" w:cstheme="minorBidi"/>
        </w:rPr>
        <w:t xml:space="preserve"> can become</w:t>
      </w:r>
      <w:r w:rsidR="1CDA79F1" w:rsidRPr="5056AED4">
        <w:rPr>
          <w:rFonts w:asciiTheme="minorHAnsi" w:eastAsia="Calibri" w:hAnsiTheme="minorHAnsi" w:cstheme="minorBidi"/>
        </w:rPr>
        <w:t xml:space="preserve"> either</w:t>
      </w:r>
      <w:r w:rsidR="60D618A4" w:rsidRPr="5056AED4">
        <w:rPr>
          <w:rFonts w:asciiTheme="minorHAnsi" w:eastAsia="Calibri" w:hAnsiTheme="minorHAnsi" w:cstheme="minorBidi"/>
        </w:rPr>
        <w:t xml:space="preserve"> </w:t>
      </w:r>
      <w:r w:rsidR="42DC1F68" w:rsidRPr="5056AED4">
        <w:rPr>
          <w:rFonts w:asciiTheme="minorHAnsi" w:eastAsia="Calibri" w:hAnsiTheme="minorHAnsi" w:cstheme="minorBidi"/>
        </w:rPr>
        <w:t xml:space="preserve">an </w:t>
      </w:r>
      <w:r w:rsidR="59E511E7" w:rsidRPr="5056AED4">
        <w:rPr>
          <w:rFonts w:asciiTheme="minorHAnsi" w:eastAsia="Calibri" w:hAnsiTheme="minorHAnsi" w:cstheme="minorBidi"/>
        </w:rPr>
        <w:t xml:space="preserve">exacerbating (Khan, 2021) or a mitigating (Overgaard, </w:t>
      </w:r>
      <w:proofErr w:type="spellStart"/>
      <w:r w:rsidR="59E511E7" w:rsidRPr="5056AED4">
        <w:rPr>
          <w:rFonts w:asciiTheme="minorHAnsi" w:eastAsia="Calibri" w:hAnsiTheme="minorHAnsi" w:cstheme="minorBidi"/>
        </w:rPr>
        <w:t>Fenger-Grøn</w:t>
      </w:r>
      <w:proofErr w:type="spellEnd"/>
      <w:r w:rsidR="59E511E7" w:rsidRPr="5056AED4">
        <w:rPr>
          <w:rFonts w:asciiTheme="minorHAnsi" w:eastAsia="Calibri" w:hAnsiTheme="minorHAnsi" w:cstheme="minorBidi"/>
        </w:rPr>
        <w:t xml:space="preserve"> and Sandall, 2012)</w:t>
      </w:r>
      <w:r w:rsidR="60D618A4" w:rsidRPr="5056AED4">
        <w:rPr>
          <w:rFonts w:asciiTheme="minorHAnsi" w:eastAsia="Calibri" w:hAnsiTheme="minorHAnsi" w:cstheme="minorBidi"/>
        </w:rPr>
        <w:t xml:space="preserve"> factor</w:t>
      </w:r>
      <w:r w:rsidR="59E511E7" w:rsidRPr="5056AED4">
        <w:rPr>
          <w:rFonts w:asciiTheme="minorHAnsi" w:eastAsia="Calibri" w:hAnsiTheme="minorHAnsi" w:cstheme="minorBidi"/>
        </w:rPr>
        <w:t>.</w:t>
      </w:r>
    </w:p>
    <w:p w14:paraId="58EBE51F" w14:textId="55C3D9CD" w:rsidR="00747BA5" w:rsidRPr="004F345B" w:rsidRDefault="00F136B0" w:rsidP="005E4568">
      <w:pPr>
        <w:spacing w:beforeAutospacing="1" w:afterAutospacing="1" w:line="276" w:lineRule="auto"/>
        <w:rPr>
          <w:rFonts w:cstheme="minorHAnsi"/>
          <w:b/>
          <w:bCs/>
        </w:rPr>
      </w:pPr>
      <w:r w:rsidRPr="004F345B">
        <w:rPr>
          <w:rFonts w:cstheme="minorHAnsi"/>
          <w:b/>
          <w:bCs/>
        </w:rPr>
        <w:t xml:space="preserve">Access to </w:t>
      </w:r>
      <w:r w:rsidR="00532552" w:rsidRPr="004F345B">
        <w:rPr>
          <w:rFonts w:cstheme="minorHAnsi"/>
          <w:b/>
          <w:bCs/>
        </w:rPr>
        <w:t>MLBS</w:t>
      </w:r>
    </w:p>
    <w:p w14:paraId="7D862A36" w14:textId="70A4A54D" w:rsidR="5549FB28" w:rsidRPr="00E95EA4" w:rsidRDefault="00D373EA" w:rsidP="5549FB28">
      <w:pPr>
        <w:pStyle w:val="NormalWeb"/>
        <w:spacing w:line="276" w:lineRule="auto"/>
        <w:rPr>
          <w:rFonts w:asciiTheme="minorHAnsi" w:hAnsiTheme="minorHAnsi" w:cstheme="minorBidi"/>
        </w:rPr>
      </w:pPr>
      <w:r w:rsidRPr="5056AED4">
        <w:rPr>
          <w:rFonts w:asciiTheme="minorHAnsi" w:hAnsiTheme="minorHAnsi" w:cstheme="minorBidi"/>
          <w:color w:val="000000" w:themeColor="text1"/>
        </w:rPr>
        <w:t xml:space="preserve">Public Health England (2020) identified the scope for improving outcomes for </w:t>
      </w:r>
      <w:r w:rsidR="00532552" w:rsidRPr="5056AED4">
        <w:rPr>
          <w:rFonts w:asciiTheme="minorHAnsi" w:hAnsiTheme="minorHAnsi" w:cstheme="minorBidi"/>
          <w:color w:val="000000" w:themeColor="text1"/>
        </w:rPr>
        <w:t>racialised women</w:t>
      </w:r>
      <w:r w:rsidRPr="5056AED4">
        <w:rPr>
          <w:rFonts w:asciiTheme="minorHAnsi" w:hAnsiTheme="minorHAnsi" w:cstheme="minorBidi"/>
          <w:color w:val="000000" w:themeColor="text1"/>
        </w:rPr>
        <w:t xml:space="preserve"> by offering midwifery-led </w:t>
      </w:r>
      <w:r w:rsidR="00532552" w:rsidRPr="5056AED4">
        <w:rPr>
          <w:rFonts w:asciiTheme="minorHAnsi" w:hAnsiTheme="minorHAnsi" w:cstheme="minorBidi"/>
          <w:color w:val="000000" w:themeColor="text1"/>
        </w:rPr>
        <w:t>services</w:t>
      </w:r>
      <w:r w:rsidRPr="5056AED4">
        <w:rPr>
          <w:rFonts w:asciiTheme="minorHAnsi" w:hAnsiTheme="minorHAnsi" w:cstheme="minorBidi"/>
          <w:color w:val="000000" w:themeColor="text1"/>
        </w:rPr>
        <w:t xml:space="preserve">. </w:t>
      </w:r>
      <w:r w:rsidR="00532552" w:rsidRPr="5056AED4">
        <w:rPr>
          <w:rFonts w:asciiTheme="minorHAnsi" w:eastAsia="Calibri" w:hAnsiTheme="minorHAnsi" w:cstheme="minorBidi"/>
        </w:rPr>
        <w:t>MLBS</w:t>
      </w:r>
      <w:r w:rsidR="00D20CB2" w:rsidRPr="5056AED4">
        <w:rPr>
          <w:rFonts w:asciiTheme="minorHAnsi" w:eastAsia="Calibri" w:hAnsiTheme="minorHAnsi" w:cstheme="minorBidi"/>
        </w:rPr>
        <w:t xml:space="preserve"> provide </w:t>
      </w:r>
      <w:r w:rsidR="00FD69D1" w:rsidRPr="5056AED4">
        <w:rPr>
          <w:rFonts w:asciiTheme="minorHAnsi" w:eastAsia="Calibri" w:hAnsiTheme="minorHAnsi" w:cstheme="minorBidi"/>
        </w:rPr>
        <w:t>good</w:t>
      </w:r>
      <w:r w:rsidR="00D20CB2" w:rsidRPr="5056AED4">
        <w:rPr>
          <w:rFonts w:asciiTheme="minorHAnsi" w:eastAsia="Calibri" w:hAnsiTheme="minorHAnsi" w:cstheme="minorBidi"/>
        </w:rPr>
        <w:t xml:space="preserve"> maternal outcomes across the board</w:t>
      </w:r>
      <w:r w:rsidR="00A70FD2" w:rsidRPr="5056AED4">
        <w:rPr>
          <w:rFonts w:asciiTheme="minorHAnsi" w:eastAsia="Calibri" w:hAnsiTheme="minorHAnsi" w:cstheme="minorBidi"/>
        </w:rPr>
        <w:t xml:space="preserve"> </w:t>
      </w:r>
      <w:r w:rsidR="00A70FD2" w:rsidRPr="5056AED4">
        <w:rPr>
          <w:rFonts w:asciiTheme="minorHAnsi" w:hAnsiTheme="minorHAnsi" w:cstheme="minorBidi"/>
        </w:rPr>
        <w:t xml:space="preserve">including lower rates of instrumental delivery, higher rates of maternal satisfaction and better clinical outcomes </w:t>
      </w:r>
      <w:r w:rsidR="00140A4C" w:rsidRPr="5056AED4">
        <w:rPr>
          <w:rFonts w:asciiTheme="minorHAnsi" w:hAnsiTheme="minorHAnsi" w:cstheme="minorBidi"/>
        </w:rPr>
        <w:t xml:space="preserve">including </w:t>
      </w:r>
      <w:r w:rsidR="00A70FD2" w:rsidRPr="5056AED4">
        <w:rPr>
          <w:rFonts w:asciiTheme="minorHAnsi" w:hAnsiTheme="minorHAnsi" w:cstheme="minorBidi"/>
        </w:rPr>
        <w:t xml:space="preserve">lower rates of post-partum haemorrhage, better breastfeeding rates, and reduced </w:t>
      </w:r>
      <w:r w:rsidR="00F136B0" w:rsidRPr="5056AED4">
        <w:rPr>
          <w:rFonts w:asciiTheme="minorHAnsi" w:hAnsiTheme="minorHAnsi" w:cstheme="minorBidi"/>
        </w:rPr>
        <w:t>medium- and long-term</w:t>
      </w:r>
      <w:r w:rsidR="00A70FD2" w:rsidRPr="5056AED4">
        <w:rPr>
          <w:rFonts w:asciiTheme="minorHAnsi" w:hAnsiTheme="minorHAnsi" w:cstheme="minorBidi"/>
        </w:rPr>
        <w:t xml:space="preserve"> morbidities (</w:t>
      </w:r>
      <w:r w:rsidR="00F136B0" w:rsidRPr="5056AED4">
        <w:rPr>
          <w:rFonts w:asciiTheme="minorHAnsi" w:hAnsiTheme="minorHAnsi" w:cstheme="minorBidi"/>
        </w:rPr>
        <w:t>NICE, 2017, S</w:t>
      </w:r>
      <w:r w:rsidR="00D20CB2" w:rsidRPr="5056AED4">
        <w:rPr>
          <w:rFonts w:asciiTheme="minorHAnsi" w:eastAsia="Calibri" w:hAnsiTheme="minorHAnsi" w:cstheme="minorBidi"/>
        </w:rPr>
        <w:t>carf et al., 2018</w:t>
      </w:r>
      <w:r w:rsidR="00F136B0" w:rsidRPr="5056AED4">
        <w:rPr>
          <w:rFonts w:asciiTheme="minorHAnsi" w:eastAsia="Calibri" w:hAnsiTheme="minorHAnsi" w:cstheme="minorBidi"/>
        </w:rPr>
        <w:t>, Cohen et al., 2018)</w:t>
      </w:r>
      <w:r w:rsidR="00140A4C" w:rsidRPr="5056AED4">
        <w:rPr>
          <w:rFonts w:asciiTheme="minorHAnsi" w:eastAsia="Calibri" w:hAnsiTheme="minorHAnsi" w:cstheme="minorBidi"/>
        </w:rPr>
        <w:t xml:space="preserve">. </w:t>
      </w:r>
      <w:r w:rsidR="00140A4C" w:rsidRPr="5056AED4">
        <w:rPr>
          <w:rFonts w:asciiTheme="minorHAnsi" w:hAnsiTheme="minorHAnsi" w:cstheme="minorBidi"/>
        </w:rPr>
        <w:t>Additionally,</w:t>
      </w:r>
      <w:r w:rsidR="00A70FD2" w:rsidRPr="5056AED4">
        <w:rPr>
          <w:rFonts w:asciiTheme="minorHAnsi" w:hAnsiTheme="minorHAnsi" w:cstheme="minorBidi"/>
        </w:rPr>
        <w:t xml:space="preserve"> </w:t>
      </w:r>
      <w:commentRangeStart w:id="0"/>
      <w:commentRangeStart w:id="1"/>
      <w:r w:rsidR="00532552" w:rsidRPr="5056AED4">
        <w:rPr>
          <w:rFonts w:asciiTheme="minorHAnsi" w:hAnsiTheme="minorHAnsi" w:cstheme="minorBidi"/>
        </w:rPr>
        <w:t>MLBS</w:t>
      </w:r>
      <w:r w:rsidR="00A70FD2" w:rsidRPr="5056AED4">
        <w:rPr>
          <w:rFonts w:asciiTheme="minorHAnsi" w:hAnsiTheme="minorHAnsi" w:cstheme="minorBidi"/>
        </w:rPr>
        <w:t xml:space="preserve"> </w:t>
      </w:r>
      <w:r w:rsidR="4BCF02FC" w:rsidRPr="5056AED4">
        <w:rPr>
          <w:rFonts w:asciiTheme="minorHAnsi" w:hAnsiTheme="minorHAnsi" w:cstheme="minorBidi"/>
        </w:rPr>
        <w:t>may be</w:t>
      </w:r>
      <w:r w:rsidR="00A70FD2" w:rsidRPr="5056AED4">
        <w:rPr>
          <w:rFonts w:asciiTheme="minorHAnsi" w:hAnsiTheme="minorHAnsi" w:cstheme="minorBidi"/>
        </w:rPr>
        <w:t xml:space="preserve"> </w:t>
      </w:r>
      <w:r w:rsidR="7C040749" w:rsidRPr="5056AED4">
        <w:rPr>
          <w:rFonts w:asciiTheme="minorHAnsi" w:hAnsiTheme="minorHAnsi" w:cstheme="minorBidi"/>
        </w:rPr>
        <w:t>better</w:t>
      </w:r>
      <w:r w:rsidR="00A70FD2" w:rsidRPr="5056AED4">
        <w:rPr>
          <w:rFonts w:asciiTheme="minorHAnsi" w:hAnsiTheme="minorHAnsi" w:cstheme="minorBidi"/>
        </w:rPr>
        <w:t xml:space="preserve"> placed to offer culturally safe care than </w:t>
      </w:r>
      <w:r w:rsidR="00A70FD2" w:rsidRPr="5056AED4">
        <w:rPr>
          <w:rFonts w:asciiTheme="minorHAnsi" w:eastAsia="Calibri" w:hAnsiTheme="minorHAnsi" w:cstheme="minorBidi"/>
        </w:rPr>
        <w:t>obstetric-led settings</w:t>
      </w:r>
      <w:r w:rsidR="0C664E1D" w:rsidRPr="5056AED4">
        <w:rPr>
          <w:rFonts w:asciiTheme="minorHAnsi" w:eastAsia="Calibri" w:hAnsiTheme="minorHAnsi" w:cstheme="minorBidi"/>
        </w:rPr>
        <w:t xml:space="preserve"> due to the</w:t>
      </w:r>
      <w:r w:rsidR="3DD7295B" w:rsidRPr="5056AED4">
        <w:rPr>
          <w:rFonts w:asciiTheme="minorHAnsi" w:eastAsia="Calibri" w:hAnsiTheme="minorHAnsi" w:cstheme="minorBidi"/>
        </w:rPr>
        <w:t xml:space="preserve"> highly personalised care, the possibility of continuity of carer and </w:t>
      </w:r>
      <w:r w:rsidR="71952BA8" w:rsidRPr="5056AED4">
        <w:rPr>
          <w:rFonts w:asciiTheme="minorHAnsi" w:eastAsia="Calibri" w:hAnsiTheme="minorHAnsi" w:cstheme="minorBidi"/>
        </w:rPr>
        <w:t>the</w:t>
      </w:r>
      <w:r w:rsidR="0C664E1D" w:rsidRPr="5056AED4">
        <w:rPr>
          <w:rFonts w:asciiTheme="minorHAnsi" w:eastAsia="Calibri" w:hAnsiTheme="minorHAnsi" w:cstheme="minorBidi"/>
        </w:rPr>
        <w:t xml:space="preserve"> </w:t>
      </w:r>
      <w:r w:rsidR="6EED2F25" w:rsidRPr="5056AED4">
        <w:rPr>
          <w:rFonts w:asciiTheme="minorHAnsi" w:eastAsia="Calibri" w:hAnsiTheme="minorHAnsi" w:cstheme="minorBidi"/>
        </w:rPr>
        <w:t>emphasis on relational care in the biopsychosocial model</w:t>
      </w:r>
      <w:r w:rsidR="00A70FD2" w:rsidRPr="5056AED4">
        <w:rPr>
          <w:rFonts w:asciiTheme="minorHAnsi" w:eastAsia="Calibri" w:hAnsiTheme="minorHAnsi" w:cstheme="minorBidi"/>
        </w:rPr>
        <w:t xml:space="preserve"> </w:t>
      </w:r>
      <w:commentRangeEnd w:id="0"/>
      <w:r w:rsidR="005E4568">
        <w:rPr>
          <w:rStyle w:val="CommentReference"/>
        </w:rPr>
        <w:commentReference w:id="0"/>
      </w:r>
      <w:commentRangeEnd w:id="1"/>
      <w:r w:rsidR="005E4568">
        <w:rPr>
          <w:rStyle w:val="CommentReference"/>
        </w:rPr>
        <w:commentReference w:id="1"/>
      </w:r>
      <w:r w:rsidR="00A70FD2" w:rsidRPr="5056AED4">
        <w:rPr>
          <w:rFonts w:asciiTheme="minorHAnsi" w:eastAsia="Calibri" w:hAnsiTheme="minorHAnsi" w:cstheme="minorBidi"/>
        </w:rPr>
        <w:t>(Macfarlane et al., 2014, Rogers et al., 2020).</w:t>
      </w:r>
      <w:r w:rsidR="77FBC20C" w:rsidRPr="5056AED4">
        <w:rPr>
          <w:rFonts w:asciiTheme="minorHAnsi" w:eastAsia="Calibri" w:hAnsiTheme="minorHAnsi" w:cstheme="minorBidi"/>
        </w:rPr>
        <w:t xml:space="preserve"> </w:t>
      </w:r>
      <w:r w:rsidR="2C7B338E" w:rsidRPr="5056AED4">
        <w:rPr>
          <w:rFonts w:asciiTheme="minorHAnsi" w:hAnsiTheme="minorHAnsi" w:cstheme="minorBidi"/>
        </w:rPr>
        <w:t>H</w:t>
      </w:r>
      <w:r w:rsidR="053875AF" w:rsidRPr="5056AED4">
        <w:rPr>
          <w:rFonts w:asciiTheme="minorHAnsi" w:hAnsiTheme="minorHAnsi" w:cstheme="minorBidi"/>
        </w:rPr>
        <w:t xml:space="preserve">igher use of </w:t>
      </w:r>
      <w:r w:rsidR="68E37539" w:rsidRPr="5056AED4">
        <w:rPr>
          <w:rFonts w:asciiTheme="minorHAnsi" w:hAnsiTheme="minorHAnsi" w:cstheme="minorBidi"/>
        </w:rPr>
        <w:t>MLBS</w:t>
      </w:r>
      <w:r w:rsidR="053875AF" w:rsidRPr="5056AED4">
        <w:rPr>
          <w:rFonts w:asciiTheme="minorHAnsi" w:hAnsiTheme="minorHAnsi" w:cstheme="minorBidi"/>
        </w:rPr>
        <w:t xml:space="preserve"> by </w:t>
      </w:r>
      <w:r w:rsidR="68E37539" w:rsidRPr="5056AED4">
        <w:rPr>
          <w:rFonts w:asciiTheme="minorHAnsi" w:hAnsiTheme="minorHAnsi" w:cstheme="minorBidi"/>
        </w:rPr>
        <w:t xml:space="preserve">racialised </w:t>
      </w:r>
      <w:r w:rsidR="68E37539" w:rsidRPr="5056AED4">
        <w:rPr>
          <w:rFonts w:asciiTheme="minorHAnsi" w:hAnsiTheme="minorHAnsi" w:cstheme="minorBidi"/>
        </w:rPr>
        <w:lastRenderedPageBreak/>
        <w:t>women</w:t>
      </w:r>
      <w:r w:rsidR="053875AF" w:rsidRPr="5056AED4">
        <w:rPr>
          <w:rFonts w:asciiTheme="minorHAnsi" w:hAnsiTheme="minorHAnsi" w:cstheme="minorBidi"/>
        </w:rPr>
        <w:t xml:space="preserve"> </w:t>
      </w:r>
      <w:r w:rsidR="2C7B338E" w:rsidRPr="5056AED4">
        <w:rPr>
          <w:rFonts w:asciiTheme="minorHAnsi" w:hAnsiTheme="minorHAnsi" w:cstheme="minorBidi"/>
        </w:rPr>
        <w:t>may</w:t>
      </w:r>
      <w:r w:rsidR="2A84E120" w:rsidRPr="5056AED4">
        <w:rPr>
          <w:rFonts w:asciiTheme="minorHAnsi" w:hAnsiTheme="minorHAnsi" w:cstheme="minorBidi"/>
        </w:rPr>
        <w:t xml:space="preserve"> therefore</w:t>
      </w:r>
      <w:r w:rsidR="2C7B338E" w:rsidRPr="5056AED4">
        <w:rPr>
          <w:rFonts w:asciiTheme="minorHAnsi" w:hAnsiTheme="minorHAnsi" w:cstheme="minorBidi"/>
        </w:rPr>
        <w:t xml:space="preserve"> improve</w:t>
      </w:r>
      <w:r w:rsidR="053875AF" w:rsidRPr="5056AED4">
        <w:rPr>
          <w:rFonts w:asciiTheme="minorHAnsi" w:hAnsiTheme="minorHAnsi" w:cstheme="minorBidi"/>
        </w:rPr>
        <w:t xml:space="preserve"> </w:t>
      </w:r>
      <w:r w:rsidR="2C7B338E" w:rsidRPr="5056AED4">
        <w:rPr>
          <w:rFonts w:asciiTheme="minorHAnsi" w:hAnsiTheme="minorHAnsi" w:cstheme="minorBidi"/>
        </w:rPr>
        <w:t xml:space="preserve">both </w:t>
      </w:r>
      <w:r w:rsidR="333618CE" w:rsidRPr="5056AED4">
        <w:rPr>
          <w:rFonts w:asciiTheme="minorHAnsi" w:hAnsiTheme="minorHAnsi" w:cstheme="minorBidi"/>
        </w:rPr>
        <w:t>satisfaction</w:t>
      </w:r>
      <w:r w:rsidR="053875AF" w:rsidRPr="5056AED4">
        <w:rPr>
          <w:rFonts w:asciiTheme="minorHAnsi" w:hAnsiTheme="minorHAnsi" w:cstheme="minorBidi"/>
        </w:rPr>
        <w:t xml:space="preserve"> with </w:t>
      </w:r>
      <w:r w:rsidR="333618CE" w:rsidRPr="5056AED4">
        <w:rPr>
          <w:rFonts w:asciiTheme="minorHAnsi" w:hAnsiTheme="minorHAnsi" w:cstheme="minorBidi"/>
        </w:rPr>
        <w:t>maternity</w:t>
      </w:r>
      <w:r w:rsidR="053875AF" w:rsidRPr="5056AED4">
        <w:rPr>
          <w:rFonts w:asciiTheme="minorHAnsi" w:hAnsiTheme="minorHAnsi" w:cstheme="minorBidi"/>
        </w:rPr>
        <w:t xml:space="preserve"> care </w:t>
      </w:r>
      <w:r w:rsidR="2C7B338E" w:rsidRPr="5056AED4">
        <w:rPr>
          <w:rFonts w:asciiTheme="minorHAnsi" w:hAnsiTheme="minorHAnsi" w:cstheme="minorBidi"/>
        </w:rPr>
        <w:t xml:space="preserve">and </w:t>
      </w:r>
      <w:r w:rsidR="514541B6" w:rsidRPr="5056AED4">
        <w:rPr>
          <w:rFonts w:asciiTheme="minorHAnsi" w:hAnsiTheme="minorHAnsi" w:cstheme="minorBidi"/>
        </w:rPr>
        <w:t>outcomes.</w:t>
      </w:r>
      <w:r w:rsidR="333618CE" w:rsidRPr="5056AED4">
        <w:rPr>
          <w:rFonts w:asciiTheme="minorHAnsi" w:hAnsiTheme="minorHAnsi" w:cstheme="minorBidi"/>
        </w:rPr>
        <w:t xml:space="preserve"> Data from the Birthplace study show no difference in serious adverse maternal outcomes in</w:t>
      </w:r>
      <w:r w:rsidR="2C7B338E" w:rsidRPr="5056AED4">
        <w:rPr>
          <w:rFonts w:asciiTheme="minorHAnsi" w:hAnsiTheme="minorHAnsi" w:cstheme="minorBidi"/>
        </w:rPr>
        <w:t xml:space="preserve"> midwife</w:t>
      </w:r>
      <w:r w:rsidR="46D7B813" w:rsidRPr="5056AED4">
        <w:rPr>
          <w:rFonts w:asciiTheme="minorHAnsi" w:hAnsiTheme="minorHAnsi" w:cstheme="minorBidi"/>
        </w:rPr>
        <w:t>ry</w:t>
      </w:r>
      <w:r w:rsidR="2C7B338E" w:rsidRPr="5056AED4">
        <w:rPr>
          <w:rFonts w:asciiTheme="minorHAnsi" w:hAnsiTheme="minorHAnsi" w:cstheme="minorBidi"/>
        </w:rPr>
        <w:t xml:space="preserve"> units</w:t>
      </w:r>
      <w:r w:rsidR="333618CE" w:rsidRPr="5056AED4">
        <w:rPr>
          <w:rFonts w:asciiTheme="minorHAnsi" w:hAnsiTheme="minorHAnsi" w:cstheme="minorBidi"/>
        </w:rPr>
        <w:t xml:space="preserve"> for </w:t>
      </w:r>
      <w:r w:rsidR="68E37539" w:rsidRPr="5056AED4">
        <w:rPr>
          <w:rFonts w:asciiTheme="minorHAnsi" w:hAnsiTheme="minorHAnsi" w:cstheme="minorBidi"/>
        </w:rPr>
        <w:t>racialised women</w:t>
      </w:r>
      <w:r w:rsidR="333618CE" w:rsidRPr="5056AED4">
        <w:rPr>
          <w:rFonts w:asciiTheme="minorHAnsi" w:hAnsiTheme="minorHAnsi" w:cstheme="minorBidi"/>
        </w:rPr>
        <w:t>, in contrast to the</w:t>
      </w:r>
      <w:r w:rsidR="2C7B338E" w:rsidRPr="5056AED4">
        <w:rPr>
          <w:rFonts w:asciiTheme="minorHAnsi" w:hAnsiTheme="minorHAnsi" w:cstheme="minorBidi"/>
        </w:rPr>
        <w:t xml:space="preserve"> overall</w:t>
      </w:r>
      <w:r w:rsidR="333618CE" w:rsidRPr="5056AED4">
        <w:rPr>
          <w:rFonts w:asciiTheme="minorHAnsi" w:hAnsiTheme="minorHAnsi" w:cstheme="minorBidi"/>
        </w:rPr>
        <w:t xml:space="preserve"> national </w:t>
      </w:r>
      <w:r w:rsidR="2C7B338E" w:rsidRPr="5056AED4">
        <w:rPr>
          <w:rFonts w:asciiTheme="minorHAnsi" w:hAnsiTheme="minorHAnsi" w:cstheme="minorBidi"/>
        </w:rPr>
        <w:t>figures</w:t>
      </w:r>
      <w:r w:rsidR="333618CE" w:rsidRPr="5056AED4">
        <w:rPr>
          <w:rFonts w:asciiTheme="minorHAnsi" w:hAnsiTheme="minorHAnsi" w:cstheme="minorBidi"/>
        </w:rPr>
        <w:t xml:space="preserve"> </w:t>
      </w:r>
      <w:r w:rsidR="2C7B338E" w:rsidRPr="5056AED4">
        <w:rPr>
          <w:rFonts w:asciiTheme="minorHAnsi" w:hAnsiTheme="minorHAnsi" w:cstheme="minorBidi"/>
        </w:rPr>
        <w:t xml:space="preserve">(Hollowell et al., 2015). </w:t>
      </w:r>
      <w:r w:rsidR="335F8FAC" w:rsidRPr="5056AED4">
        <w:rPr>
          <w:rFonts w:asciiTheme="minorHAnsi" w:hAnsiTheme="minorHAnsi" w:cstheme="minorBidi"/>
        </w:rPr>
        <w:t>This indicates a need for an analysis of the barriers</w:t>
      </w:r>
      <w:r w:rsidR="2C7B338E" w:rsidRPr="5056AED4">
        <w:rPr>
          <w:rFonts w:asciiTheme="minorHAnsi" w:hAnsiTheme="minorHAnsi" w:cstheme="minorBidi"/>
        </w:rPr>
        <w:t xml:space="preserve"> and facilitators</w:t>
      </w:r>
      <w:r w:rsidR="335F8FAC" w:rsidRPr="5056AED4">
        <w:rPr>
          <w:rFonts w:asciiTheme="minorHAnsi" w:hAnsiTheme="minorHAnsi" w:cstheme="minorBidi"/>
        </w:rPr>
        <w:t xml:space="preserve"> to develop a strategy for informing, </w:t>
      </w:r>
      <w:proofErr w:type="gramStart"/>
      <w:r w:rsidR="335F8FAC" w:rsidRPr="5056AED4">
        <w:rPr>
          <w:rFonts w:asciiTheme="minorHAnsi" w:hAnsiTheme="minorHAnsi" w:cstheme="minorBidi"/>
        </w:rPr>
        <w:t>encourag</w:t>
      </w:r>
      <w:r w:rsidR="7B2293C4" w:rsidRPr="5056AED4">
        <w:rPr>
          <w:rFonts w:asciiTheme="minorHAnsi" w:hAnsiTheme="minorHAnsi" w:cstheme="minorBidi"/>
        </w:rPr>
        <w:t>ing</w:t>
      </w:r>
      <w:proofErr w:type="gramEnd"/>
      <w:r w:rsidR="335F8FAC" w:rsidRPr="5056AED4">
        <w:rPr>
          <w:rFonts w:asciiTheme="minorHAnsi" w:hAnsiTheme="minorHAnsi" w:cstheme="minorBidi"/>
        </w:rPr>
        <w:t xml:space="preserve"> and promoting access to </w:t>
      </w:r>
      <w:r w:rsidR="68E37539" w:rsidRPr="5056AED4">
        <w:rPr>
          <w:rFonts w:asciiTheme="minorHAnsi" w:hAnsiTheme="minorHAnsi" w:cstheme="minorBidi"/>
        </w:rPr>
        <w:t>MLBS</w:t>
      </w:r>
      <w:r w:rsidR="335F8FAC" w:rsidRPr="5056AED4">
        <w:rPr>
          <w:rFonts w:asciiTheme="minorHAnsi" w:hAnsiTheme="minorHAnsi" w:cstheme="minorBidi"/>
        </w:rPr>
        <w:t xml:space="preserve"> for </w:t>
      </w:r>
      <w:r w:rsidR="68E37539" w:rsidRPr="5056AED4">
        <w:rPr>
          <w:rFonts w:asciiTheme="minorHAnsi" w:hAnsiTheme="minorHAnsi" w:cstheme="minorBidi"/>
        </w:rPr>
        <w:t>racialised women</w:t>
      </w:r>
      <w:r w:rsidR="335F8FAC" w:rsidRPr="5056AED4">
        <w:rPr>
          <w:rFonts w:asciiTheme="minorHAnsi" w:hAnsiTheme="minorHAnsi" w:cstheme="minorBidi"/>
        </w:rPr>
        <w:t>.</w:t>
      </w:r>
      <w:r w:rsidR="68E37539" w:rsidRPr="5056AED4">
        <w:rPr>
          <w:rFonts w:asciiTheme="minorHAnsi" w:hAnsiTheme="minorHAnsi" w:cstheme="minorBidi"/>
        </w:rPr>
        <w:t xml:space="preserve"> This scoping review will not set out to evaluate issues of the quality of midwifery care for racialised women per se. However</w:t>
      </w:r>
      <w:r w:rsidR="18AF3B31" w:rsidRPr="5056AED4">
        <w:rPr>
          <w:rFonts w:asciiTheme="minorHAnsi" w:hAnsiTheme="minorHAnsi" w:cstheme="minorBidi"/>
        </w:rPr>
        <w:t>,</w:t>
      </w:r>
      <w:r w:rsidR="68E37539" w:rsidRPr="5056AED4">
        <w:rPr>
          <w:rFonts w:asciiTheme="minorHAnsi" w:hAnsiTheme="minorHAnsi" w:cstheme="minorBidi"/>
        </w:rPr>
        <w:t xml:space="preserve"> this topic may arise as theme when analysing the data. </w:t>
      </w:r>
    </w:p>
    <w:p w14:paraId="4C7D06A5" w14:textId="3492A08B" w:rsidR="00A70FD2" w:rsidRPr="004F345B" w:rsidRDefault="00A70FD2" w:rsidP="00140A4C">
      <w:pPr>
        <w:pStyle w:val="NormalWeb"/>
        <w:spacing w:line="276" w:lineRule="auto"/>
        <w:rPr>
          <w:rFonts w:asciiTheme="minorHAnsi" w:hAnsiTheme="minorHAnsi" w:cstheme="minorHAnsi"/>
          <w:b/>
          <w:bCs/>
        </w:rPr>
      </w:pPr>
      <w:r w:rsidRPr="004F345B">
        <w:rPr>
          <w:rFonts w:asciiTheme="minorHAnsi" w:hAnsiTheme="minorHAnsi" w:cstheme="minorHAnsi"/>
          <w:b/>
          <w:bCs/>
        </w:rPr>
        <w:t>What this review will add</w:t>
      </w:r>
    </w:p>
    <w:p w14:paraId="68F77127" w14:textId="567B1FFB" w:rsidR="00B9227E" w:rsidRPr="004F345B" w:rsidRDefault="003A6818" w:rsidP="00140A4C">
      <w:pPr>
        <w:spacing w:beforeAutospacing="1" w:afterAutospacing="1" w:line="276" w:lineRule="auto"/>
        <w:rPr>
          <w:rFonts w:cstheme="minorHAnsi"/>
        </w:rPr>
      </w:pPr>
      <w:r w:rsidRPr="004F345B">
        <w:rPr>
          <w:rFonts w:cstheme="minorHAnsi"/>
        </w:rPr>
        <w:t xml:space="preserve">In order to deliver equitable care and improve outcomes for </w:t>
      </w:r>
      <w:r w:rsidR="00532552" w:rsidRPr="004F345B">
        <w:rPr>
          <w:rFonts w:cstheme="minorHAnsi"/>
        </w:rPr>
        <w:t>racialised women</w:t>
      </w:r>
      <w:r w:rsidRPr="004F345B">
        <w:rPr>
          <w:rFonts w:cstheme="minorHAnsi"/>
        </w:rPr>
        <w:t xml:space="preserve"> it is imperative to ask: what strategies and best practice facilitate access to </w:t>
      </w:r>
      <w:r w:rsidR="00532552" w:rsidRPr="004F345B">
        <w:rPr>
          <w:rFonts w:cstheme="minorHAnsi"/>
        </w:rPr>
        <w:t>MLBS</w:t>
      </w:r>
      <w:r w:rsidRPr="004F345B">
        <w:rPr>
          <w:rFonts w:cstheme="minorHAnsi"/>
        </w:rPr>
        <w:t xml:space="preserve"> for </w:t>
      </w:r>
      <w:proofErr w:type="gramStart"/>
      <w:r w:rsidRPr="004F345B">
        <w:rPr>
          <w:rFonts w:cstheme="minorHAnsi"/>
        </w:rPr>
        <w:t>low</w:t>
      </w:r>
      <w:r w:rsidR="00532552" w:rsidRPr="004F345B">
        <w:rPr>
          <w:rFonts w:cstheme="minorHAnsi"/>
        </w:rPr>
        <w:t>-</w:t>
      </w:r>
      <w:r w:rsidRPr="004F345B">
        <w:rPr>
          <w:rFonts w:cstheme="minorHAnsi"/>
        </w:rPr>
        <w:t>risk</w:t>
      </w:r>
      <w:proofErr w:type="gramEnd"/>
      <w:r w:rsidRPr="004F345B">
        <w:rPr>
          <w:rFonts w:cstheme="minorHAnsi"/>
        </w:rPr>
        <w:t xml:space="preserve"> </w:t>
      </w:r>
      <w:r w:rsidR="00532552" w:rsidRPr="004F345B">
        <w:rPr>
          <w:rFonts w:cstheme="minorHAnsi"/>
        </w:rPr>
        <w:t>racialised women</w:t>
      </w:r>
      <w:r w:rsidR="00396CE4">
        <w:rPr>
          <w:rFonts w:cstheme="minorHAnsi"/>
        </w:rPr>
        <w:t>?</w:t>
      </w:r>
      <w:r w:rsidRPr="004F345B">
        <w:rPr>
          <w:rFonts w:cstheme="minorHAnsi"/>
        </w:rPr>
        <w:t xml:space="preserve"> </w:t>
      </w:r>
      <w:r w:rsidR="00331C54" w:rsidRPr="004F345B">
        <w:rPr>
          <w:rFonts w:cstheme="minorHAnsi"/>
        </w:rPr>
        <w:t>To date there is no comprehensive research about barriers</w:t>
      </w:r>
      <w:r w:rsidR="00532552" w:rsidRPr="004F345B">
        <w:rPr>
          <w:rFonts w:cstheme="minorHAnsi"/>
        </w:rPr>
        <w:t xml:space="preserve"> and</w:t>
      </w:r>
      <w:r w:rsidR="00331C54" w:rsidRPr="004F345B">
        <w:rPr>
          <w:rFonts w:cstheme="minorHAnsi"/>
        </w:rPr>
        <w:t xml:space="preserve"> facilitators for access to </w:t>
      </w:r>
      <w:r w:rsidR="00532552" w:rsidRPr="004F345B">
        <w:rPr>
          <w:rFonts w:cstheme="minorHAnsi"/>
        </w:rPr>
        <w:t>MLBS</w:t>
      </w:r>
      <w:r w:rsidR="00331C54" w:rsidRPr="004F345B">
        <w:rPr>
          <w:rFonts w:cstheme="minorHAnsi"/>
        </w:rPr>
        <w:t xml:space="preserve"> for </w:t>
      </w:r>
      <w:r w:rsidR="00532552" w:rsidRPr="004F345B">
        <w:rPr>
          <w:rFonts w:cstheme="minorHAnsi"/>
        </w:rPr>
        <w:t xml:space="preserve">racialised women. This is the first study to explore that question directly and offer insights for </w:t>
      </w:r>
      <w:r w:rsidR="005E4568" w:rsidRPr="004F345B">
        <w:rPr>
          <w:rFonts w:cstheme="minorHAnsi"/>
        </w:rPr>
        <w:t>strategies for improvement of access</w:t>
      </w:r>
      <w:r w:rsidR="00532552" w:rsidRPr="004F345B">
        <w:rPr>
          <w:rFonts w:cstheme="minorHAnsi"/>
        </w:rPr>
        <w:t>.</w:t>
      </w:r>
    </w:p>
    <w:p w14:paraId="2C963782" w14:textId="77777777" w:rsidR="00156125" w:rsidRPr="004F345B" w:rsidRDefault="00156125" w:rsidP="00140A4C">
      <w:pPr>
        <w:pStyle w:val="Heading1"/>
        <w:spacing w:line="276" w:lineRule="auto"/>
        <w:rPr>
          <w:rFonts w:asciiTheme="minorHAnsi" w:hAnsiTheme="minorHAnsi" w:cstheme="minorHAnsi"/>
          <w:b/>
          <w:bCs/>
          <w:color w:val="000000" w:themeColor="text1"/>
          <w:sz w:val="24"/>
          <w:szCs w:val="24"/>
        </w:rPr>
      </w:pPr>
      <w:r w:rsidRPr="004F345B">
        <w:rPr>
          <w:rFonts w:asciiTheme="minorHAnsi" w:hAnsiTheme="minorHAnsi" w:cstheme="minorHAnsi"/>
          <w:b/>
          <w:bCs/>
          <w:color w:val="000000" w:themeColor="text1"/>
          <w:sz w:val="24"/>
          <w:szCs w:val="24"/>
        </w:rPr>
        <w:t>Review question</w:t>
      </w:r>
    </w:p>
    <w:p w14:paraId="6EAFDFC8" w14:textId="536AA984" w:rsidR="00F4357D" w:rsidRPr="004F345B" w:rsidRDefault="488E8D57" w:rsidP="5549FB28">
      <w:pPr>
        <w:spacing w:line="276" w:lineRule="auto"/>
      </w:pPr>
      <w:r w:rsidRPr="5549FB28">
        <w:rPr>
          <w:color w:val="000000" w:themeColor="text1"/>
        </w:rPr>
        <w:t>What good practice, barriers or rationale have been documented regarding</w:t>
      </w:r>
      <w:r w:rsidRPr="5549FB28">
        <w:rPr>
          <w:i/>
          <w:iCs/>
          <w:color w:val="000000" w:themeColor="text1"/>
        </w:rPr>
        <w:t xml:space="preserve"> </w:t>
      </w:r>
      <w:r w:rsidRPr="5549FB28">
        <w:t xml:space="preserve">strategies for enabling and facilitating access to midwife-led </w:t>
      </w:r>
      <w:r w:rsidR="68E37539" w:rsidRPr="5549FB28">
        <w:t>birth settings</w:t>
      </w:r>
      <w:r w:rsidRPr="5549FB28">
        <w:t xml:space="preserve"> for </w:t>
      </w:r>
      <w:r w:rsidR="68E37539" w:rsidRPr="5549FB28">
        <w:t>racialised</w:t>
      </w:r>
      <w:r w:rsidRPr="5549FB28">
        <w:t xml:space="preserve"> women in the UK</w:t>
      </w:r>
      <w:r w:rsidR="22F3216E" w:rsidRPr="5549FB28">
        <w:t>?</w:t>
      </w:r>
    </w:p>
    <w:p w14:paraId="32CA9B6E" w14:textId="77777777" w:rsidR="00156125" w:rsidRPr="004F345B" w:rsidRDefault="00156125" w:rsidP="005E4568">
      <w:pPr>
        <w:pStyle w:val="Heading1"/>
        <w:spacing w:line="276" w:lineRule="auto"/>
        <w:rPr>
          <w:rFonts w:asciiTheme="minorHAnsi" w:hAnsiTheme="minorHAnsi" w:cstheme="minorHAnsi"/>
          <w:b/>
          <w:bCs/>
          <w:color w:val="000000" w:themeColor="text1"/>
          <w:sz w:val="24"/>
          <w:szCs w:val="24"/>
        </w:rPr>
      </w:pPr>
      <w:r w:rsidRPr="004F345B">
        <w:rPr>
          <w:rFonts w:asciiTheme="minorHAnsi" w:hAnsiTheme="minorHAnsi" w:cstheme="minorHAnsi"/>
          <w:b/>
          <w:bCs/>
          <w:color w:val="000000" w:themeColor="text1"/>
          <w:sz w:val="24"/>
          <w:szCs w:val="24"/>
        </w:rPr>
        <w:t>Keywords</w:t>
      </w:r>
    </w:p>
    <w:p w14:paraId="5FA60193" w14:textId="791BF4B1" w:rsidR="00A42BE9" w:rsidRPr="004F345B" w:rsidRDefault="00F4357D" w:rsidP="5056AED4">
      <w:pPr>
        <w:spacing w:line="276" w:lineRule="auto"/>
        <w:rPr>
          <w:color w:val="000000"/>
        </w:rPr>
      </w:pPr>
      <w:r w:rsidRPr="5056AED4">
        <w:rPr>
          <w:color w:val="000000" w:themeColor="text1"/>
        </w:rPr>
        <w:t>Birth centre, inclusivity, racism, woman-centred,</w:t>
      </w:r>
      <w:r w:rsidR="0D949A93" w:rsidRPr="5056AED4">
        <w:rPr>
          <w:color w:val="000000" w:themeColor="text1"/>
        </w:rPr>
        <w:t xml:space="preserve"> personalised care,</w:t>
      </w:r>
      <w:r w:rsidRPr="5056AED4">
        <w:rPr>
          <w:color w:val="000000" w:themeColor="text1"/>
        </w:rPr>
        <w:t xml:space="preserve"> </w:t>
      </w:r>
      <w:r w:rsidR="00FD4EE9" w:rsidRPr="5056AED4">
        <w:rPr>
          <w:color w:val="000000" w:themeColor="text1"/>
        </w:rPr>
        <w:t>BAME</w:t>
      </w:r>
      <w:r w:rsidR="00A42BE9" w:rsidRPr="5056AED4">
        <w:rPr>
          <w:color w:val="000000" w:themeColor="text1"/>
        </w:rPr>
        <w:t xml:space="preserve">, </w:t>
      </w:r>
      <w:r w:rsidR="004F345B" w:rsidRPr="5056AED4">
        <w:rPr>
          <w:color w:val="000000" w:themeColor="text1"/>
        </w:rPr>
        <w:t>m</w:t>
      </w:r>
      <w:r w:rsidR="00A42BE9" w:rsidRPr="5056AED4">
        <w:rPr>
          <w:color w:val="000000" w:themeColor="text1"/>
        </w:rPr>
        <w:t>inority-ethnic, midwife-led, midwifery unit.</w:t>
      </w:r>
    </w:p>
    <w:p w14:paraId="76224BD4" w14:textId="77777777" w:rsidR="00F4357D" w:rsidRPr="004F345B" w:rsidRDefault="00F4357D" w:rsidP="005E4568">
      <w:pPr>
        <w:spacing w:line="276" w:lineRule="auto"/>
        <w:rPr>
          <w:rFonts w:cstheme="minorHAnsi"/>
        </w:rPr>
      </w:pPr>
    </w:p>
    <w:p w14:paraId="47786FCC" w14:textId="2DBB3328" w:rsidR="005E4568" w:rsidRPr="004F345B" w:rsidRDefault="00BA41FC" w:rsidP="005E4568">
      <w:pPr>
        <w:spacing w:line="276" w:lineRule="auto"/>
        <w:rPr>
          <w:rFonts w:cstheme="minorHAnsi"/>
          <w:b/>
          <w:bCs/>
        </w:rPr>
      </w:pPr>
      <w:r w:rsidRPr="004F345B">
        <w:rPr>
          <w:rFonts w:cstheme="minorHAnsi"/>
          <w:b/>
          <w:bCs/>
        </w:rPr>
        <w:t>E</w:t>
      </w:r>
      <w:r w:rsidR="005E4568" w:rsidRPr="004F345B">
        <w:rPr>
          <w:rFonts w:eastAsia="Times New Roman" w:cstheme="minorHAnsi"/>
          <w:b/>
          <w:bCs/>
          <w:color w:val="000000" w:themeColor="text1"/>
          <w:lang w:eastAsia="en-GB"/>
        </w:rPr>
        <w:t>ligibility criteria</w:t>
      </w:r>
    </w:p>
    <w:p w14:paraId="1FA752F5" w14:textId="78F04B69" w:rsidR="004F345B" w:rsidRPr="004F345B" w:rsidRDefault="005E4568" w:rsidP="5056AED4">
      <w:pPr>
        <w:spacing w:beforeAutospacing="1" w:afterAutospacing="1" w:line="276" w:lineRule="auto"/>
        <w:rPr>
          <w:color w:val="000000"/>
        </w:rPr>
      </w:pPr>
      <w:r w:rsidRPr="5056AED4">
        <w:t xml:space="preserve">The objective of this scoping review is to assess and synthesise the extent of the literature relating to facilitators and barriers to midwife led </w:t>
      </w:r>
      <w:r w:rsidR="00532552" w:rsidRPr="5056AED4">
        <w:t>birth settings</w:t>
      </w:r>
      <w:r w:rsidRPr="5056AED4">
        <w:t xml:space="preserve"> for </w:t>
      </w:r>
      <w:r w:rsidR="00532552" w:rsidRPr="5056AED4">
        <w:t>racialised</w:t>
      </w:r>
      <w:r w:rsidRPr="5056AED4">
        <w:t xml:space="preserve"> women in the UK. As there is limited direct research on the topic, literature that contains relevant material will be considered. The unique history of the United Kingdom and the specific context of midwife led services necessitates the scope of the review to be UK only research and discussion papers. </w:t>
      </w:r>
      <w:r w:rsidR="00761094" w:rsidRPr="5056AED4">
        <w:rPr>
          <w:color w:val="000000" w:themeColor="text1"/>
        </w:rPr>
        <w:t>We have included BAME</w:t>
      </w:r>
      <w:r w:rsidR="004F345B" w:rsidRPr="5056AED4">
        <w:rPr>
          <w:color w:val="000000" w:themeColor="text1"/>
        </w:rPr>
        <w:t>,</w:t>
      </w:r>
      <w:r w:rsidR="00761094" w:rsidRPr="5056AED4">
        <w:rPr>
          <w:color w:val="000000" w:themeColor="text1"/>
        </w:rPr>
        <w:t xml:space="preserve"> migrant</w:t>
      </w:r>
      <w:r w:rsidR="004F345B" w:rsidRPr="5056AED4">
        <w:rPr>
          <w:color w:val="000000" w:themeColor="text1"/>
        </w:rPr>
        <w:t xml:space="preserve"> and other terms</w:t>
      </w:r>
      <w:r w:rsidR="00761094" w:rsidRPr="5056AED4">
        <w:rPr>
          <w:color w:val="000000" w:themeColor="text1"/>
        </w:rPr>
        <w:t xml:space="preserve"> in the search terms as literature pertaining to these groups or using </w:t>
      </w:r>
      <w:r w:rsidR="79D991CB" w:rsidRPr="5056AED4">
        <w:rPr>
          <w:color w:val="000000" w:themeColor="text1"/>
        </w:rPr>
        <w:t>these definitions</w:t>
      </w:r>
      <w:r w:rsidR="00761094" w:rsidRPr="5056AED4">
        <w:rPr>
          <w:color w:val="000000" w:themeColor="text1"/>
        </w:rPr>
        <w:t xml:space="preserve"> may yield useful content. </w:t>
      </w:r>
      <w:r w:rsidR="00BA41FC" w:rsidRPr="5056AED4">
        <w:t xml:space="preserve">Research </w:t>
      </w:r>
      <w:r w:rsidR="00312059" w:rsidRPr="5056AED4">
        <w:rPr>
          <w:lang w:val="en-US"/>
        </w:rPr>
        <w:t>with</w:t>
      </w:r>
      <w:r w:rsidR="00BA41FC" w:rsidRPr="5056AED4">
        <w:rPr>
          <w:lang w:val="en-US"/>
        </w:rPr>
        <w:t>in</w:t>
      </w:r>
      <w:r w:rsidR="00312059" w:rsidRPr="5056AED4">
        <w:rPr>
          <w:lang w:val="en-US"/>
        </w:rPr>
        <w:t xml:space="preserve"> the last 10 years</w:t>
      </w:r>
      <w:r w:rsidR="00BA41FC" w:rsidRPr="5056AED4">
        <w:rPr>
          <w:lang w:val="en-US"/>
        </w:rPr>
        <w:t xml:space="preserve"> from ac</w:t>
      </w:r>
      <w:r w:rsidR="00312059" w:rsidRPr="5056AED4">
        <w:rPr>
          <w:lang w:val="en-US"/>
        </w:rPr>
        <w:t>ademic</w:t>
      </w:r>
      <w:r w:rsidR="00BA41FC" w:rsidRPr="5056AED4">
        <w:rPr>
          <w:lang w:val="en-US"/>
        </w:rPr>
        <w:t xml:space="preserve"> </w:t>
      </w:r>
      <w:r w:rsidR="00312059" w:rsidRPr="5056AED4">
        <w:rPr>
          <w:lang w:val="en-US"/>
        </w:rPr>
        <w:t>publications and grey literature</w:t>
      </w:r>
      <w:r w:rsidR="00BA41FC" w:rsidRPr="5056AED4">
        <w:rPr>
          <w:lang w:val="en-US"/>
        </w:rPr>
        <w:t xml:space="preserve"> will be considered.</w:t>
      </w:r>
      <w:r w:rsidR="0021199A" w:rsidRPr="5056AED4">
        <w:rPr>
          <w:lang w:val="en-US"/>
        </w:rPr>
        <w:t xml:space="preserve"> </w:t>
      </w:r>
      <w:r w:rsidR="0021199A" w:rsidRPr="5056AED4">
        <w:rPr>
          <w:color w:val="000000" w:themeColor="text1"/>
        </w:rPr>
        <w:t>Excluded are articles describing the problem of poor outcomes as that is not the scope of this review.</w:t>
      </w:r>
    </w:p>
    <w:tbl>
      <w:tblPr>
        <w:tblStyle w:val="TableGrid"/>
        <w:tblW w:w="0" w:type="auto"/>
        <w:tblLook w:val="04A0" w:firstRow="1" w:lastRow="0" w:firstColumn="1" w:lastColumn="0" w:noHBand="0" w:noVBand="1"/>
      </w:tblPr>
      <w:tblGrid>
        <w:gridCol w:w="3823"/>
        <w:gridCol w:w="5193"/>
      </w:tblGrid>
      <w:tr w:rsidR="004F345B" w:rsidRPr="004F345B" w14:paraId="0BC82AB8" w14:textId="77777777" w:rsidTr="004F345B">
        <w:tc>
          <w:tcPr>
            <w:tcW w:w="3823" w:type="dxa"/>
          </w:tcPr>
          <w:p w14:paraId="07D311B5" w14:textId="0A01D24A" w:rsidR="004F345B" w:rsidRPr="004F345B" w:rsidRDefault="004F345B" w:rsidP="005E4568">
            <w:pPr>
              <w:spacing w:beforeAutospacing="1" w:afterAutospacing="1" w:line="276" w:lineRule="auto"/>
              <w:rPr>
                <w:rFonts w:cstheme="minorHAnsi"/>
                <w:b/>
                <w:bCs/>
                <w:color w:val="000000"/>
              </w:rPr>
            </w:pPr>
            <w:r w:rsidRPr="004F345B">
              <w:rPr>
                <w:rFonts w:cstheme="minorHAnsi"/>
                <w:b/>
                <w:bCs/>
                <w:color w:val="000000"/>
              </w:rPr>
              <w:t xml:space="preserve">Inclusion </w:t>
            </w:r>
          </w:p>
        </w:tc>
        <w:tc>
          <w:tcPr>
            <w:tcW w:w="5193" w:type="dxa"/>
          </w:tcPr>
          <w:p w14:paraId="475B11D6" w14:textId="19AA7F35" w:rsidR="004F345B" w:rsidRPr="004F345B" w:rsidRDefault="004F345B" w:rsidP="005E4568">
            <w:pPr>
              <w:spacing w:beforeAutospacing="1" w:afterAutospacing="1" w:line="276" w:lineRule="auto"/>
              <w:rPr>
                <w:rFonts w:cstheme="minorHAnsi"/>
                <w:b/>
                <w:bCs/>
                <w:color w:val="000000"/>
              </w:rPr>
            </w:pPr>
            <w:r w:rsidRPr="004F345B">
              <w:rPr>
                <w:rFonts w:cstheme="minorHAnsi"/>
                <w:b/>
                <w:bCs/>
                <w:color w:val="000000"/>
              </w:rPr>
              <w:t xml:space="preserve">Exclusion </w:t>
            </w:r>
          </w:p>
        </w:tc>
      </w:tr>
      <w:tr w:rsidR="004F345B" w:rsidRPr="004F345B" w14:paraId="413CEF94" w14:textId="77777777" w:rsidTr="004F345B">
        <w:tc>
          <w:tcPr>
            <w:tcW w:w="3823" w:type="dxa"/>
          </w:tcPr>
          <w:p w14:paraId="191B7E82" w14:textId="1D2072E9" w:rsidR="004F345B" w:rsidRPr="004F345B" w:rsidRDefault="004F345B" w:rsidP="005E4568">
            <w:pPr>
              <w:spacing w:beforeAutospacing="1" w:afterAutospacing="1" w:line="276" w:lineRule="auto"/>
              <w:rPr>
                <w:rFonts w:cstheme="minorHAnsi"/>
                <w:color w:val="000000"/>
              </w:rPr>
            </w:pPr>
            <w:r w:rsidRPr="004F345B">
              <w:rPr>
                <w:rFonts w:cstheme="minorHAnsi"/>
                <w:color w:val="000000"/>
              </w:rPr>
              <w:t>UK only</w:t>
            </w:r>
          </w:p>
        </w:tc>
        <w:tc>
          <w:tcPr>
            <w:tcW w:w="5193" w:type="dxa"/>
          </w:tcPr>
          <w:p w14:paraId="4ED0F467" w14:textId="1A503E42" w:rsidR="004F345B" w:rsidRPr="004F345B" w:rsidRDefault="004F345B" w:rsidP="005E4568">
            <w:pPr>
              <w:spacing w:beforeAutospacing="1" w:afterAutospacing="1" w:line="276" w:lineRule="auto"/>
              <w:rPr>
                <w:rFonts w:cstheme="minorHAnsi"/>
                <w:color w:val="000000"/>
              </w:rPr>
            </w:pPr>
            <w:r w:rsidRPr="004F345B">
              <w:rPr>
                <w:rFonts w:cstheme="minorHAnsi"/>
                <w:color w:val="000000"/>
              </w:rPr>
              <w:t>Descriptive of the poor outcomes only</w:t>
            </w:r>
          </w:p>
        </w:tc>
      </w:tr>
      <w:tr w:rsidR="004F345B" w:rsidRPr="004F345B" w14:paraId="415D242D" w14:textId="77777777" w:rsidTr="004F345B">
        <w:tc>
          <w:tcPr>
            <w:tcW w:w="3823" w:type="dxa"/>
          </w:tcPr>
          <w:p w14:paraId="59BFEAA3" w14:textId="4041C727" w:rsidR="004F345B" w:rsidRPr="004F345B" w:rsidRDefault="004F345B" w:rsidP="005E4568">
            <w:pPr>
              <w:spacing w:beforeAutospacing="1" w:afterAutospacing="1" w:line="276" w:lineRule="auto"/>
              <w:rPr>
                <w:rFonts w:cstheme="minorHAnsi"/>
                <w:color w:val="000000"/>
              </w:rPr>
            </w:pPr>
            <w:r w:rsidRPr="004F345B">
              <w:rPr>
                <w:rFonts w:cstheme="minorHAnsi"/>
                <w:color w:val="000000"/>
              </w:rPr>
              <w:t>2012 - 2022</w:t>
            </w:r>
          </w:p>
        </w:tc>
        <w:tc>
          <w:tcPr>
            <w:tcW w:w="5193" w:type="dxa"/>
          </w:tcPr>
          <w:p w14:paraId="3299624E" w14:textId="2E8378A8" w:rsidR="004F345B" w:rsidRPr="004F345B" w:rsidRDefault="004F345B" w:rsidP="005E4568">
            <w:pPr>
              <w:spacing w:beforeAutospacing="1" w:afterAutospacing="1" w:line="276" w:lineRule="auto"/>
              <w:rPr>
                <w:rFonts w:cstheme="minorHAnsi"/>
                <w:color w:val="000000"/>
              </w:rPr>
            </w:pPr>
            <w:r>
              <w:rPr>
                <w:rFonts w:cstheme="minorHAnsi"/>
                <w:color w:val="000000"/>
              </w:rPr>
              <w:t>Focus on ethnically white minorities</w:t>
            </w:r>
          </w:p>
        </w:tc>
      </w:tr>
      <w:tr w:rsidR="004F345B" w:rsidRPr="004F345B" w14:paraId="4E59187A" w14:textId="77777777" w:rsidTr="004F345B">
        <w:tc>
          <w:tcPr>
            <w:tcW w:w="3823" w:type="dxa"/>
          </w:tcPr>
          <w:p w14:paraId="2D41A405" w14:textId="6B3A5103" w:rsidR="004F345B" w:rsidRPr="004F345B" w:rsidRDefault="004F345B" w:rsidP="005E4568">
            <w:pPr>
              <w:spacing w:beforeAutospacing="1" w:afterAutospacing="1" w:line="276" w:lineRule="auto"/>
              <w:rPr>
                <w:rFonts w:cstheme="minorHAnsi"/>
                <w:color w:val="000000"/>
              </w:rPr>
            </w:pPr>
            <w:r>
              <w:rPr>
                <w:rFonts w:cstheme="minorHAnsi"/>
                <w:color w:val="000000"/>
              </w:rPr>
              <w:t>Academic and grey literature</w:t>
            </w:r>
          </w:p>
        </w:tc>
        <w:tc>
          <w:tcPr>
            <w:tcW w:w="5193" w:type="dxa"/>
          </w:tcPr>
          <w:p w14:paraId="4A3E2D35" w14:textId="26C89D55" w:rsidR="004F345B" w:rsidRPr="004F345B" w:rsidRDefault="004F345B" w:rsidP="005E4568">
            <w:pPr>
              <w:spacing w:beforeAutospacing="1" w:afterAutospacing="1" w:line="276" w:lineRule="auto"/>
              <w:rPr>
                <w:rFonts w:cstheme="minorHAnsi"/>
                <w:color w:val="000000"/>
              </w:rPr>
            </w:pPr>
            <w:r>
              <w:rPr>
                <w:rFonts w:cstheme="minorHAnsi"/>
                <w:color w:val="000000"/>
              </w:rPr>
              <w:t>Focus on quality of care only (not access to care)</w:t>
            </w:r>
          </w:p>
        </w:tc>
      </w:tr>
      <w:tr w:rsidR="004F345B" w:rsidRPr="004F345B" w14:paraId="62B120A3" w14:textId="77777777" w:rsidTr="004F345B">
        <w:tc>
          <w:tcPr>
            <w:tcW w:w="3823" w:type="dxa"/>
          </w:tcPr>
          <w:p w14:paraId="4B0CF270" w14:textId="3C678612" w:rsidR="004F345B" w:rsidRPr="004F345B" w:rsidRDefault="004F345B" w:rsidP="005E4568">
            <w:pPr>
              <w:spacing w:beforeAutospacing="1" w:afterAutospacing="1" w:line="276" w:lineRule="auto"/>
              <w:rPr>
                <w:rFonts w:cstheme="minorHAnsi"/>
                <w:color w:val="000000"/>
              </w:rPr>
            </w:pPr>
            <w:r>
              <w:rPr>
                <w:rFonts w:cstheme="minorHAnsi"/>
                <w:color w:val="000000"/>
              </w:rPr>
              <w:lastRenderedPageBreak/>
              <w:t xml:space="preserve">Qualitative, </w:t>
            </w:r>
            <w:proofErr w:type="gramStart"/>
            <w:r>
              <w:rPr>
                <w:rFonts w:cstheme="minorHAnsi"/>
                <w:color w:val="000000"/>
              </w:rPr>
              <w:t>quantitative</w:t>
            </w:r>
            <w:proofErr w:type="gramEnd"/>
            <w:r>
              <w:rPr>
                <w:rFonts w:cstheme="minorHAnsi"/>
                <w:color w:val="000000"/>
              </w:rPr>
              <w:t xml:space="preserve"> or mixed method</w:t>
            </w:r>
          </w:p>
        </w:tc>
        <w:tc>
          <w:tcPr>
            <w:tcW w:w="5193" w:type="dxa"/>
          </w:tcPr>
          <w:p w14:paraId="4ABD7EAA" w14:textId="77777777" w:rsidR="004F345B" w:rsidRPr="004F345B" w:rsidRDefault="004F345B" w:rsidP="005E4568">
            <w:pPr>
              <w:spacing w:beforeAutospacing="1" w:afterAutospacing="1" w:line="276" w:lineRule="auto"/>
              <w:rPr>
                <w:rFonts w:cstheme="minorHAnsi"/>
                <w:color w:val="000000"/>
              </w:rPr>
            </w:pPr>
          </w:p>
        </w:tc>
      </w:tr>
    </w:tbl>
    <w:p w14:paraId="59FF7319" w14:textId="77777777" w:rsidR="00D533BD" w:rsidRDefault="00D533BD" w:rsidP="005E4568">
      <w:pPr>
        <w:spacing w:line="276" w:lineRule="auto"/>
        <w:rPr>
          <w:rFonts w:cstheme="minorHAnsi"/>
          <w:b/>
          <w:bCs/>
        </w:rPr>
      </w:pPr>
    </w:p>
    <w:p w14:paraId="79EE5C79" w14:textId="77777777" w:rsidR="00D533BD" w:rsidRDefault="00D533BD" w:rsidP="005E4568">
      <w:pPr>
        <w:spacing w:line="276" w:lineRule="auto"/>
        <w:rPr>
          <w:rFonts w:cstheme="minorHAnsi"/>
          <w:b/>
          <w:bCs/>
        </w:rPr>
      </w:pPr>
    </w:p>
    <w:p w14:paraId="6BE5A123" w14:textId="37EF7F2B" w:rsidR="00BA41FC" w:rsidRPr="004F345B" w:rsidRDefault="00BA41FC" w:rsidP="005E4568">
      <w:pPr>
        <w:spacing w:line="276" w:lineRule="auto"/>
        <w:rPr>
          <w:rFonts w:cstheme="minorHAnsi"/>
          <w:b/>
          <w:bCs/>
        </w:rPr>
      </w:pPr>
      <w:r w:rsidRPr="004F345B">
        <w:rPr>
          <w:rFonts w:cstheme="minorHAnsi"/>
          <w:b/>
          <w:bCs/>
        </w:rPr>
        <w:t>Search strategy</w:t>
      </w:r>
    </w:p>
    <w:p w14:paraId="1AD7983E" w14:textId="77777777" w:rsidR="00BA41FC" w:rsidRPr="004F345B" w:rsidRDefault="00BA41FC" w:rsidP="005E4568">
      <w:pPr>
        <w:spacing w:line="276" w:lineRule="auto"/>
        <w:rPr>
          <w:rFonts w:cstheme="minorHAnsi"/>
          <w:b/>
          <w:bCs/>
        </w:rPr>
      </w:pPr>
    </w:p>
    <w:p w14:paraId="087135AE" w14:textId="64A6BE76" w:rsidR="00261A68" w:rsidRPr="004F345B" w:rsidRDefault="00261A68" w:rsidP="005E4568">
      <w:pPr>
        <w:spacing w:line="276" w:lineRule="auto"/>
        <w:rPr>
          <w:rFonts w:cstheme="minorHAnsi"/>
          <w:b/>
          <w:bCs/>
        </w:rPr>
      </w:pPr>
      <w:r w:rsidRPr="004F345B">
        <w:rPr>
          <w:rFonts w:cstheme="minorHAnsi"/>
          <w:b/>
          <w:bCs/>
        </w:rPr>
        <w:t>Academic texts</w:t>
      </w:r>
    </w:p>
    <w:p w14:paraId="0A639BB6" w14:textId="32565A0B" w:rsidR="00261A68" w:rsidRPr="004F345B" w:rsidRDefault="00261A68" w:rsidP="005E4568">
      <w:pPr>
        <w:spacing w:line="276" w:lineRule="auto"/>
        <w:rPr>
          <w:rFonts w:cstheme="minorHAnsi"/>
        </w:rPr>
      </w:pPr>
      <w:r w:rsidRPr="004F345B">
        <w:rPr>
          <w:rFonts w:cstheme="minorHAnsi"/>
        </w:rPr>
        <w:t xml:space="preserve">Search engines: </w:t>
      </w:r>
    </w:p>
    <w:p w14:paraId="01D1B8B2" w14:textId="78AB0A61" w:rsidR="00396CB3" w:rsidRPr="004F345B" w:rsidRDefault="00396CB3" w:rsidP="005E4568">
      <w:pPr>
        <w:pStyle w:val="ListParagraph"/>
        <w:numPr>
          <w:ilvl w:val="0"/>
          <w:numId w:val="3"/>
        </w:numPr>
        <w:spacing w:line="276" w:lineRule="auto"/>
        <w:rPr>
          <w:rFonts w:cstheme="minorHAnsi"/>
        </w:rPr>
      </w:pPr>
      <w:r w:rsidRPr="004F345B">
        <w:rPr>
          <w:rFonts w:cstheme="minorHAnsi"/>
        </w:rPr>
        <w:t xml:space="preserve">Ovid </w:t>
      </w:r>
      <w:r w:rsidR="00BA41FC" w:rsidRPr="004F345B">
        <w:rPr>
          <w:rFonts w:cstheme="minorHAnsi"/>
        </w:rPr>
        <w:t xml:space="preserve"> </w:t>
      </w:r>
    </w:p>
    <w:p w14:paraId="65A732E5" w14:textId="63649467" w:rsidR="00396CB3" w:rsidRPr="004F345B" w:rsidRDefault="00396CB3" w:rsidP="005E4568">
      <w:pPr>
        <w:pStyle w:val="ListParagraph"/>
        <w:numPr>
          <w:ilvl w:val="0"/>
          <w:numId w:val="3"/>
        </w:numPr>
        <w:spacing w:line="276" w:lineRule="auto"/>
        <w:rPr>
          <w:rFonts w:cstheme="minorHAnsi"/>
        </w:rPr>
      </w:pPr>
      <w:r w:rsidRPr="004F345B">
        <w:rPr>
          <w:rFonts w:cstheme="minorHAnsi"/>
        </w:rPr>
        <w:t xml:space="preserve">EBSCO host </w:t>
      </w:r>
    </w:p>
    <w:p w14:paraId="35C92D0A" w14:textId="0E425CE4" w:rsidR="00396CB3" w:rsidRPr="004F345B" w:rsidRDefault="00396CB3" w:rsidP="005E4568">
      <w:pPr>
        <w:pStyle w:val="ListParagraph"/>
        <w:numPr>
          <w:ilvl w:val="0"/>
          <w:numId w:val="3"/>
        </w:numPr>
        <w:spacing w:line="276" w:lineRule="auto"/>
        <w:rPr>
          <w:rFonts w:cstheme="minorHAnsi"/>
        </w:rPr>
      </w:pPr>
      <w:r w:rsidRPr="004F345B">
        <w:rPr>
          <w:rFonts w:cstheme="minorHAnsi"/>
        </w:rPr>
        <w:t xml:space="preserve">Backchain from selected articles. </w:t>
      </w:r>
    </w:p>
    <w:p w14:paraId="51B1509B" w14:textId="1A6E1BE8" w:rsidR="00261A68" w:rsidRPr="004F345B" w:rsidRDefault="00261A68" w:rsidP="005E4568">
      <w:pPr>
        <w:spacing w:line="276" w:lineRule="auto"/>
        <w:rPr>
          <w:rFonts w:cstheme="minorHAnsi"/>
        </w:rPr>
      </w:pPr>
    </w:p>
    <w:tbl>
      <w:tblPr>
        <w:tblStyle w:val="TableGrid"/>
        <w:tblW w:w="0" w:type="auto"/>
        <w:tblLook w:val="04A0" w:firstRow="1" w:lastRow="0" w:firstColumn="1" w:lastColumn="0" w:noHBand="0" w:noVBand="1"/>
      </w:tblPr>
      <w:tblGrid>
        <w:gridCol w:w="2263"/>
        <w:gridCol w:w="851"/>
        <w:gridCol w:w="2551"/>
        <w:gridCol w:w="993"/>
        <w:gridCol w:w="2358"/>
      </w:tblGrid>
      <w:tr w:rsidR="00532552" w:rsidRPr="004F345B" w14:paraId="59077229" w14:textId="77777777" w:rsidTr="00396CB3">
        <w:tc>
          <w:tcPr>
            <w:tcW w:w="2263" w:type="dxa"/>
            <w:shd w:val="clear" w:color="auto" w:fill="FFF2CC" w:themeFill="accent4" w:themeFillTint="33"/>
          </w:tcPr>
          <w:p w14:paraId="6A6490FB" w14:textId="4F890315" w:rsidR="00532552" w:rsidRPr="004F345B" w:rsidRDefault="00532552" w:rsidP="005E4568">
            <w:pPr>
              <w:spacing w:line="276" w:lineRule="auto"/>
              <w:jc w:val="center"/>
              <w:rPr>
                <w:rFonts w:cstheme="minorHAnsi"/>
              </w:rPr>
            </w:pPr>
            <w:r w:rsidRPr="004F345B">
              <w:rPr>
                <w:rFonts w:cstheme="minorHAnsi"/>
              </w:rPr>
              <w:t>OR</w:t>
            </w:r>
          </w:p>
        </w:tc>
        <w:tc>
          <w:tcPr>
            <w:tcW w:w="851" w:type="dxa"/>
            <w:vMerge w:val="restart"/>
            <w:shd w:val="clear" w:color="auto" w:fill="FFF2CC" w:themeFill="accent4" w:themeFillTint="33"/>
          </w:tcPr>
          <w:p w14:paraId="2F1AD2B6" w14:textId="421364BF" w:rsidR="00532552" w:rsidRPr="004F345B" w:rsidRDefault="00532552" w:rsidP="005E4568">
            <w:pPr>
              <w:spacing w:line="276" w:lineRule="auto"/>
              <w:jc w:val="center"/>
              <w:rPr>
                <w:rFonts w:cstheme="minorHAnsi"/>
              </w:rPr>
            </w:pPr>
            <w:r w:rsidRPr="004F345B">
              <w:rPr>
                <w:rFonts w:cstheme="minorHAnsi"/>
              </w:rPr>
              <w:t>AND</w:t>
            </w:r>
          </w:p>
        </w:tc>
        <w:tc>
          <w:tcPr>
            <w:tcW w:w="2551" w:type="dxa"/>
            <w:shd w:val="clear" w:color="auto" w:fill="FFF2CC" w:themeFill="accent4" w:themeFillTint="33"/>
          </w:tcPr>
          <w:p w14:paraId="33126EAE" w14:textId="6FD3941C" w:rsidR="00532552" w:rsidRPr="004F345B" w:rsidRDefault="00532552" w:rsidP="005E4568">
            <w:pPr>
              <w:spacing w:line="276" w:lineRule="auto"/>
              <w:jc w:val="center"/>
              <w:rPr>
                <w:rFonts w:cstheme="minorHAnsi"/>
              </w:rPr>
            </w:pPr>
            <w:r w:rsidRPr="004F345B">
              <w:rPr>
                <w:rFonts w:cstheme="minorHAnsi"/>
              </w:rPr>
              <w:t>OR</w:t>
            </w:r>
          </w:p>
        </w:tc>
        <w:tc>
          <w:tcPr>
            <w:tcW w:w="993" w:type="dxa"/>
            <w:vMerge w:val="restart"/>
            <w:shd w:val="clear" w:color="auto" w:fill="FFF2CC" w:themeFill="accent4" w:themeFillTint="33"/>
          </w:tcPr>
          <w:p w14:paraId="652CC587" w14:textId="07A9A399" w:rsidR="00532552" w:rsidRPr="004F345B" w:rsidRDefault="00532552" w:rsidP="005E4568">
            <w:pPr>
              <w:spacing w:line="276" w:lineRule="auto"/>
              <w:jc w:val="center"/>
              <w:rPr>
                <w:rFonts w:cstheme="minorHAnsi"/>
              </w:rPr>
            </w:pPr>
            <w:r w:rsidRPr="004F345B">
              <w:rPr>
                <w:rFonts w:cstheme="minorHAnsi"/>
              </w:rPr>
              <w:t>AND</w:t>
            </w:r>
          </w:p>
        </w:tc>
        <w:tc>
          <w:tcPr>
            <w:tcW w:w="2358" w:type="dxa"/>
            <w:shd w:val="clear" w:color="auto" w:fill="FFF2CC" w:themeFill="accent4" w:themeFillTint="33"/>
          </w:tcPr>
          <w:p w14:paraId="01A2AE5A" w14:textId="204EBF09" w:rsidR="00532552" w:rsidRPr="004F345B" w:rsidRDefault="00532552" w:rsidP="005E4568">
            <w:pPr>
              <w:spacing w:line="276" w:lineRule="auto"/>
              <w:jc w:val="center"/>
              <w:rPr>
                <w:rFonts w:cstheme="minorHAnsi"/>
              </w:rPr>
            </w:pPr>
            <w:r w:rsidRPr="004F345B">
              <w:rPr>
                <w:rFonts w:cstheme="minorHAnsi"/>
              </w:rPr>
              <w:t>OR</w:t>
            </w:r>
          </w:p>
        </w:tc>
      </w:tr>
      <w:tr w:rsidR="00532552" w:rsidRPr="004F345B" w14:paraId="688492B6" w14:textId="77777777" w:rsidTr="00396CB3">
        <w:tc>
          <w:tcPr>
            <w:tcW w:w="2263" w:type="dxa"/>
          </w:tcPr>
          <w:p w14:paraId="0DB362F8" w14:textId="0AB7AB40" w:rsidR="00532552" w:rsidRPr="004F345B" w:rsidRDefault="00532552" w:rsidP="005E4568">
            <w:pPr>
              <w:spacing w:line="276" w:lineRule="auto"/>
              <w:rPr>
                <w:rFonts w:eastAsia="Times New Roman" w:cstheme="minorHAnsi"/>
                <w:lang w:eastAsia="en-GB"/>
              </w:rPr>
            </w:pPr>
            <w:r w:rsidRPr="004F345B">
              <w:rPr>
                <w:rFonts w:eastAsia="Times New Roman" w:cstheme="minorHAnsi"/>
                <w:lang w:eastAsia="en-GB"/>
              </w:rPr>
              <w:t>Black</w:t>
            </w:r>
          </w:p>
        </w:tc>
        <w:tc>
          <w:tcPr>
            <w:tcW w:w="851" w:type="dxa"/>
            <w:vMerge/>
          </w:tcPr>
          <w:p w14:paraId="35E87B64" w14:textId="77777777" w:rsidR="00532552" w:rsidRPr="004F345B" w:rsidRDefault="00532552" w:rsidP="005E4568">
            <w:pPr>
              <w:spacing w:line="276" w:lineRule="auto"/>
              <w:rPr>
                <w:rFonts w:cstheme="minorHAnsi"/>
              </w:rPr>
            </w:pPr>
          </w:p>
        </w:tc>
        <w:tc>
          <w:tcPr>
            <w:tcW w:w="2551" w:type="dxa"/>
          </w:tcPr>
          <w:p w14:paraId="32D2871E" w14:textId="5CEE8188" w:rsidR="00532552" w:rsidRPr="004F345B" w:rsidRDefault="00532552" w:rsidP="005E4568">
            <w:pPr>
              <w:spacing w:line="276" w:lineRule="auto"/>
              <w:rPr>
                <w:rFonts w:cstheme="minorHAnsi"/>
              </w:rPr>
            </w:pPr>
            <w:proofErr w:type="spellStart"/>
            <w:r w:rsidRPr="004F345B">
              <w:rPr>
                <w:rFonts w:cstheme="minorHAnsi"/>
              </w:rPr>
              <w:t>Midwi</w:t>
            </w:r>
            <w:proofErr w:type="spellEnd"/>
            <w:r w:rsidRPr="004F345B">
              <w:rPr>
                <w:rFonts w:cstheme="minorHAnsi"/>
              </w:rPr>
              <w:t>* led</w:t>
            </w:r>
          </w:p>
        </w:tc>
        <w:tc>
          <w:tcPr>
            <w:tcW w:w="993" w:type="dxa"/>
            <w:vMerge/>
          </w:tcPr>
          <w:p w14:paraId="519650EE" w14:textId="77777777" w:rsidR="00532552" w:rsidRPr="004F345B" w:rsidRDefault="00532552" w:rsidP="005E4568">
            <w:pPr>
              <w:spacing w:line="276" w:lineRule="auto"/>
              <w:rPr>
                <w:rFonts w:cstheme="minorHAnsi"/>
              </w:rPr>
            </w:pPr>
          </w:p>
        </w:tc>
        <w:tc>
          <w:tcPr>
            <w:tcW w:w="2358" w:type="dxa"/>
          </w:tcPr>
          <w:p w14:paraId="0EAB9BCC" w14:textId="65850018" w:rsidR="00532552" w:rsidRPr="004F345B" w:rsidRDefault="00532552" w:rsidP="005E4568">
            <w:pPr>
              <w:spacing w:line="276" w:lineRule="auto"/>
              <w:rPr>
                <w:rFonts w:eastAsia="Times New Roman" w:cstheme="minorHAnsi"/>
                <w:lang w:eastAsia="en-GB"/>
              </w:rPr>
            </w:pPr>
            <w:r w:rsidRPr="004F345B">
              <w:rPr>
                <w:rFonts w:eastAsia="Times New Roman" w:cstheme="minorHAnsi"/>
                <w:lang w:eastAsia="en-GB"/>
              </w:rPr>
              <w:t>Access to care</w:t>
            </w:r>
          </w:p>
        </w:tc>
      </w:tr>
      <w:tr w:rsidR="00532552" w:rsidRPr="004F345B" w14:paraId="3928A804" w14:textId="77777777" w:rsidTr="00396CB3">
        <w:tc>
          <w:tcPr>
            <w:tcW w:w="2263" w:type="dxa"/>
          </w:tcPr>
          <w:p w14:paraId="4DE074C1" w14:textId="629BB690" w:rsidR="00532552" w:rsidRPr="004F345B" w:rsidRDefault="00532552" w:rsidP="005E4568">
            <w:pPr>
              <w:spacing w:line="276" w:lineRule="auto"/>
              <w:rPr>
                <w:rFonts w:eastAsia="Times New Roman" w:cstheme="minorHAnsi"/>
                <w:lang w:eastAsia="en-GB"/>
              </w:rPr>
            </w:pPr>
            <w:r w:rsidRPr="004F345B">
              <w:rPr>
                <w:rFonts w:eastAsia="Times New Roman" w:cstheme="minorHAnsi"/>
                <w:lang w:eastAsia="en-GB"/>
              </w:rPr>
              <w:t>Brown</w:t>
            </w:r>
          </w:p>
        </w:tc>
        <w:tc>
          <w:tcPr>
            <w:tcW w:w="851" w:type="dxa"/>
            <w:vMerge/>
          </w:tcPr>
          <w:p w14:paraId="36EBF1E5" w14:textId="77777777" w:rsidR="00532552" w:rsidRPr="004F345B" w:rsidRDefault="00532552" w:rsidP="005E4568">
            <w:pPr>
              <w:spacing w:line="276" w:lineRule="auto"/>
              <w:rPr>
                <w:rFonts w:cstheme="minorHAnsi"/>
              </w:rPr>
            </w:pPr>
          </w:p>
        </w:tc>
        <w:tc>
          <w:tcPr>
            <w:tcW w:w="2551" w:type="dxa"/>
          </w:tcPr>
          <w:p w14:paraId="14ABB99B" w14:textId="6EA3D073" w:rsidR="00532552" w:rsidRPr="004F345B" w:rsidRDefault="00532552" w:rsidP="005E4568">
            <w:pPr>
              <w:spacing w:line="276" w:lineRule="auto"/>
              <w:rPr>
                <w:rFonts w:cstheme="minorHAnsi"/>
              </w:rPr>
            </w:pPr>
            <w:proofErr w:type="spellStart"/>
            <w:r w:rsidRPr="004F345B">
              <w:rPr>
                <w:rFonts w:cstheme="minorHAnsi"/>
              </w:rPr>
              <w:t>Midwi</w:t>
            </w:r>
            <w:proofErr w:type="spellEnd"/>
            <w:r w:rsidRPr="004F345B">
              <w:rPr>
                <w:rFonts w:cstheme="minorHAnsi"/>
              </w:rPr>
              <w:t>*</w:t>
            </w:r>
          </w:p>
        </w:tc>
        <w:tc>
          <w:tcPr>
            <w:tcW w:w="993" w:type="dxa"/>
            <w:vMerge/>
          </w:tcPr>
          <w:p w14:paraId="1AFC39DD" w14:textId="77777777" w:rsidR="00532552" w:rsidRPr="004F345B" w:rsidRDefault="00532552" w:rsidP="005E4568">
            <w:pPr>
              <w:spacing w:line="276" w:lineRule="auto"/>
              <w:rPr>
                <w:rFonts w:cstheme="minorHAnsi"/>
              </w:rPr>
            </w:pPr>
          </w:p>
        </w:tc>
        <w:tc>
          <w:tcPr>
            <w:tcW w:w="2358" w:type="dxa"/>
          </w:tcPr>
          <w:p w14:paraId="5944A2DC" w14:textId="2940E66D" w:rsidR="00532552" w:rsidRPr="004F345B" w:rsidRDefault="00532552" w:rsidP="005E4568">
            <w:pPr>
              <w:spacing w:line="276" w:lineRule="auto"/>
              <w:rPr>
                <w:rFonts w:eastAsia="Times New Roman" w:cstheme="minorHAnsi"/>
                <w:lang w:eastAsia="en-GB"/>
              </w:rPr>
            </w:pPr>
            <w:proofErr w:type="spellStart"/>
            <w:r w:rsidRPr="004F345B">
              <w:rPr>
                <w:rFonts w:eastAsia="Times New Roman" w:cstheme="minorHAnsi"/>
                <w:lang w:eastAsia="en-GB"/>
              </w:rPr>
              <w:t>Facilitat</w:t>
            </w:r>
            <w:proofErr w:type="spellEnd"/>
            <w:r w:rsidRPr="004F345B">
              <w:rPr>
                <w:rFonts w:eastAsia="Times New Roman" w:cstheme="minorHAnsi"/>
                <w:lang w:eastAsia="en-GB"/>
              </w:rPr>
              <w:t>*</w:t>
            </w:r>
          </w:p>
        </w:tc>
      </w:tr>
      <w:tr w:rsidR="00532552" w:rsidRPr="004F345B" w14:paraId="4E66A708" w14:textId="77777777" w:rsidTr="00396CB3">
        <w:tc>
          <w:tcPr>
            <w:tcW w:w="2263" w:type="dxa"/>
          </w:tcPr>
          <w:p w14:paraId="40FD3366" w14:textId="2993CF6C" w:rsidR="00532552" w:rsidRPr="004F345B" w:rsidRDefault="00532552" w:rsidP="005E4568">
            <w:pPr>
              <w:spacing w:line="276" w:lineRule="auto"/>
              <w:rPr>
                <w:rFonts w:eastAsia="Times New Roman" w:cstheme="minorHAnsi"/>
                <w:lang w:eastAsia="en-GB"/>
              </w:rPr>
            </w:pPr>
            <w:r w:rsidRPr="004F345B">
              <w:rPr>
                <w:rFonts w:eastAsia="Times New Roman" w:cstheme="minorHAnsi"/>
                <w:lang w:eastAsia="en-GB"/>
              </w:rPr>
              <w:t>BAME</w:t>
            </w:r>
          </w:p>
        </w:tc>
        <w:tc>
          <w:tcPr>
            <w:tcW w:w="851" w:type="dxa"/>
            <w:vMerge/>
          </w:tcPr>
          <w:p w14:paraId="4CA99D61" w14:textId="77777777" w:rsidR="00532552" w:rsidRPr="004F345B" w:rsidRDefault="00532552" w:rsidP="005E4568">
            <w:pPr>
              <w:spacing w:line="276" w:lineRule="auto"/>
              <w:rPr>
                <w:rFonts w:cstheme="minorHAnsi"/>
              </w:rPr>
            </w:pPr>
          </w:p>
        </w:tc>
        <w:tc>
          <w:tcPr>
            <w:tcW w:w="2551" w:type="dxa"/>
          </w:tcPr>
          <w:p w14:paraId="22077D76" w14:textId="49436D7D" w:rsidR="00532552" w:rsidRPr="004F345B" w:rsidRDefault="00532552" w:rsidP="005E4568">
            <w:pPr>
              <w:spacing w:line="276" w:lineRule="auto"/>
              <w:rPr>
                <w:rFonts w:cstheme="minorHAnsi"/>
              </w:rPr>
            </w:pPr>
            <w:r w:rsidRPr="004F345B">
              <w:rPr>
                <w:rFonts w:cstheme="minorHAnsi"/>
              </w:rPr>
              <w:t>Birth* centre</w:t>
            </w:r>
          </w:p>
        </w:tc>
        <w:tc>
          <w:tcPr>
            <w:tcW w:w="993" w:type="dxa"/>
            <w:vMerge/>
          </w:tcPr>
          <w:p w14:paraId="1464EEF0" w14:textId="77777777" w:rsidR="00532552" w:rsidRPr="004F345B" w:rsidRDefault="00532552" w:rsidP="005E4568">
            <w:pPr>
              <w:spacing w:line="276" w:lineRule="auto"/>
              <w:rPr>
                <w:rFonts w:cstheme="minorHAnsi"/>
              </w:rPr>
            </w:pPr>
          </w:p>
        </w:tc>
        <w:tc>
          <w:tcPr>
            <w:tcW w:w="2358" w:type="dxa"/>
          </w:tcPr>
          <w:p w14:paraId="7F2F2335" w14:textId="6F55835A" w:rsidR="00532552" w:rsidRPr="004F345B" w:rsidRDefault="00532552" w:rsidP="005E4568">
            <w:pPr>
              <w:spacing w:line="276" w:lineRule="auto"/>
              <w:rPr>
                <w:rFonts w:cstheme="minorHAnsi"/>
              </w:rPr>
            </w:pPr>
            <w:r w:rsidRPr="004F345B">
              <w:rPr>
                <w:rFonts w:cstheme="minorHAnsi"/>
              </w:rPr>
              <w:t>Enable</w:t>
            </w:r>
          </w:p>
        </w:tc>
      </w:tr>
      <w:tr w:rsidR="00532552" w:rsidRPr="004F345B" w14:paraId="493DB2A1" w14:textId="77777777" w:rsidTr="00396CB3">
        <w:tc>
          <w:tcPr>
            <w:tcW w:w="2263" w:type="dxa"/>
          </w:tcPr>
          <w:p w14:paraId="5322C4A2" w14:textId="417B12FA" w:rsidR="00532552" w:rsidRPr="004F345B" w:rsidRDefault="00532552" w:rsidP="005E4568">
            <w:pPr>
              <w:spacing w:line="276" w:lineRule="auto"/>
              <w:rPr>
                <w:rFonts w:eastAsia="Times New Roman" w:cstheme="minorHAnsi"/>
                <w:lang w:eastAsia="en-GB"/>
              </w:rPr>
            </w:pPr>
            <w:r w:rsidRPr="004F345B">
              <w:rPr>
                <w:rFonts w:eastAsia="Times New Roman" w:cstheme="minorHAnsi"/>
                <w:lang w:eastAsia="en-GB"/>
              </w:rPr>
              <w:t>Ethnic minority</w:t>
            </w:r>
          </w:p>
        </w:tc>
        <w:tc>
          <w:tcPr>
            <w:tcW w:w="851" w:type="dxa"/>
            <w:vMerge/>
          </w:tcPr>
          <w:p w14:paraId="77DE55D0" w14:textId="77777777" w:rsidR="00532552" w:rsidRPr="004F345B" w:rsidRDefault="00532552" w:rsidP="005E4568">
            <w:pPr>
              <w:spacing w:line="276" w:lineRule="auto"/>
              <w:rPr>
                <w:rFonts w:cstheme="minorHAnsi"/>
              </w:rPr>
            </w:pPr>
          </w:p>
        </w:tc>
        <w:tc>
          <w:tcPr>
            <w:tcW w:w="2551" w:type="dxa"/>
          </w:tcPr>
          <w:p w14:paraId="278EFA09" w14:textId="721D693D" w:rsidR="00532552" w:rsidRPr="004F345B" w:rsidRDefault="00532552" w:rsidP="005E4568">
            <w:pPr>
              <w:spacing w:line="276" w:lineRule="auto"/>
              <w:rPr>
                <w:rFonts w:cstheme="minorHAnsi"/>
              </w:rPr>
            </w:pPr>
            <w:proofErr w:type="spellStart"/>
            <w:r w:rsidRPr="004F345B">
              <w:rPr>
                <w:rFonts w:cstheme="minorHAnsi"/>
              </w:rPr>
              <w:t>Midwi</w:t>
            </w:r>
            <w:proofErr w:type="spellEnd"/>
            <w:r w:rsidRPr="004F345B">
              <w:rPr>
                <w:rFonts w:cstheme="minorHAnsi"/>
              </w:rPr>
              <w:t>* unit</w:t>
            </w:r>
          </w:p>
        </w:tc>
        <w:tc>
          <w:tcPr>
            <w:tcW w:w="993" w:type="dxa"/>
            <w:vMerge/>
          </w:tcPr>
          <w:p w14:paraId="331AED48" w14:textId="77777777" w:rsidR="00532552" w:rsidRPr="004F345B" w:rsidRDefault="00532552" w:rsidP="005E4568">
            <w:pPr>
              <w:spacing w:line="276" w:lineRule="auto"/>
              <w:rPr>
                <w:rFonts w:cstheme="minorHAnsi"/>
              </w:rPr>
            </w:pPr>
          </w:p>
        </w:tc>
        <w:tc>
          <w:tcPr>
            <w:tcW w:w="2358" w:type="dxa"/>
          </w:tcPr>
          <w:p w14:paraId="2B0DBDF9" w14:textId="52C187D6" w:rsidR="00532552" w:rsidRPr="004F345B" w:rsidRDefault="00532552" w:rsidP="005E4568">
            <w:pPr>
              <w:spacing w:line="276" w:lineRule="auto"/>
              <w:rPr>
                <w:rFonts w:eastAsia="Times New Roman" w:cstheme="minorHAnsi"/>
                <w:lang w:eastAsia="en-GB"/>
              </w:rPr>
            </w:pPr>
            <w:r w:rsidRPr="004F345B">
              <w:rPr>
                <w:rFonts w:eastAsia="Times New Roman" w:cstheme="minorHAnsi"/>
                <w:lang w:eastAsia="en-GB"/>
              </w:rPr>
              <w:t>Barrier*</w:t>
            </w:r>
          </w:p>
        </w:tc>
      </w:tr>
      <w:tr w:rsidR="00532552" w:rsidRPr="004F345B" w14:paraId="45AF2753" w14:textId="77777777" w:rsidTr="00396CB3">
        <w:tc>
          <w:tcPr>
            <w:tcW w:w="2263" w:type="dxa"/>
          </w:tcPr>
          <w:p w14:paraId="5EFA94AA" w14:textId="6B09D99D" w:rsidR="00532552" w:rsidRPr="004F345B" w:rsidRDefault="00532552" w:rsidP="005E4568">
            <w:pPr>
              <w:spacing w:line="276" w:lineRule="auto"/>
              <w:rPr>
                <w:rFonts w:eastAsia="Times New Roman" w:cstheme="minorHAnsi"/>
                <w:lang w:eastAsia="en-GB"/>
              </w:rPr>
            </w:pPr>
            <w:r w:rsidRPr="004F345B">
              <w:rPr>
                <w:rFonts w:eastAsia="Times New Roman" w:cstheme="minorHAnsi"/>
                <w:lang w:eastAsia="en-GB"/>
              </w:rPr>
              <w:t xml:space="preserve">*Caribbean </w:t>
            </w:r>
          </w:p>
        </w:tc>
        <w:tc>
          <w:tcPr>
            <w:tcW w:w="851" w:type="dxa"/>
            <w:vMerge/>
          </w:tcPr>
          <w:p w14:paraId="4E263737" w14:textId="77777777" w:rsidR="00532552" w:rsidRPr="004F345B" w:rsidRDefault="00532552" w:rsidP="005E4568">
            <w:pPr>
              <w:spacing w:line="276" w:lineRule="auto"/>
              <w:rPr>
                <w:rFonts w:cstheme="minorHAnsi"/>
              </w:rPr>
            </w:pPr>
          </w:p>
        </w:tc>
        <w:tc>
          <w:tcPr>
            <w:tcW w:w="2551" w:type="dxa"/>
            <w:vMerge w:val="restart"/>
          </w:tcPr>
          <w:p w14:paraId="2B2123AE" w14:textId="388B575B" w:rsidR="00532552" w:rsidRPr="004F345B" w:rsidRDefault="00532552" w:rsidP="005E4568">
            <w:pPr>
              <w:spacing w:line="276" w:lineRule="auto"/>
              <w:rPr>
                <w:rFonts w:cstheme="minorHAnsi"/>
              </w:rPr>
            </w:pPr>
          </w:p>
        </w:tc>
        <w:tc>
          <w:tcPr>
            <w:tcW w:w="993" w:type="dxa"/>
            <w:vMerge/>
          </w:tcPr>
          <w:p w14:paraId="316296DD" w14:textId="77777777" w:rsidR="00532552" w:rsidRPr="004F345B" w:rsidRDefault="00532552" w:rsidP="005E4568">
            <w:pPr>
              <w:spacing w:line="276" w:lineRule="auto"/>
              <w:rPr>
                <w:rFonts w:cstheme="minorHAnsi"/>
              </w:rPr>
            </w:pPr>
          </w:p>
        </w:tc>
        <w:tc>
          <w:tcPr>
            <w:tcW w:w="2358" w:type="dxa"/>
          </w:tcPr>
          <w:p w14:paraId="2E426F28" w14:textId="4EE8C45A" w:rsidR="00532552" w:rsidRPr="004F345B" w:rsidRDefault="00532552" w:rsidP="005E4568">
            <w:pPr>
              <w:spacing w:line="276" w:lineRule="auto"/>
              <w:rPr>
                <w:rFonts w:eastAsia="Times New Roman" w:cstheme="minorHAnsi"/>
                <w:lang w:eastAsia="en-GB"/>
              </w:rPr>
            </w:pPr>
            <w:r w:rsidRPr="004F345B">
              <w:rPr>
                <w:rFonts w:cstheme="minorHAnsi"/>
              </w:rPr>
              <w:t>Respond* to needs</w:t>
            </w:r>
          </w:p>
        </w:tc>
      </w:tr>
      <w:tr w:rsidR="00532552" w:rsidRPr="004F345B" w14:paraId="16723C63" w14:textId="77777777" w:rsidTr="00396CB3">
        <w:tc>
          <w:tcPr>
            <w:tcW w:w="2263" w:type="dxa"/>
          </w:tcPr>
          <w:p w14:paraId="6B84742A" w14:textId="21B1B4CE" w:rsidR="00532552" w:rsidRPr="004F345B" w:rsidRDefault="00532552" w:rsidP="005E4568">
            <w:pPr>
              <w:spacing w:line="276" w:lineRule="auto"/>
              <w:rPr>
                <w:rFonts w:cstheme="minorHAnsi"/>
              </w:rPr>
            </w:pPr>
            <w:r w:rsidRPr="004F345B">
              <w:rPr>
                <w:rFonts w:cstheme="minorHAnsi"/>
              </w:rPr>
              <w:t>Migrant</w:t>
            </w:r>
          </w:p>
        </w:tc>
        <w:tc>
          <w:tcPr>
            <w:tcW w:w="851" w:type="dxa"/>
            <w:vMerge/>
          </w:tcPr>
          <w:p w14:paraId="5369675E" w14:textId="77777777" w:rsidR="00532552" w:rsidRPr="004F345B" w:rsidRDefault="00532552" w:rsidP="005E4568">
            <w:pPr>
              <w:spacing w:line="276" w:lineRule="auto"/>
              <w:rPr>
                <w:rFonts w:cstheme="minorHAnsi"/>
              </w:rPr>
            </w:pPr>
          </w:p>
        </w:tc>
        <w:tc>
          <w:tcPr>
            <w:tcW w:w="2551" w:type="dxa"/>
            <w:vMerge/>
          </w:tcPr>
          <w:p w14:paraId="0DAF6196" w14:textId="77777777" w:rsidR="00532552" w:rsidRPr="004F345B" w:rsidRDefault="00532552" w:rsidP="005E4568">
            <w:pPr>
              <w:spacing w:line="276" w:lineRule="auto"/>
              <w:rPr>
                <w:rFonts w:cstheme="minorHAnsi"/>
              </w:rPr>
            </w:pPr>
          </w:p>
        </w:tc>
        <w:tc>
          <w:tcPr>
            <w:tcW w:w="993" w:type="dxa"/>
            <w:vMerge/>
          </w:tcPr>
          <w:p w14:paraId="1C3F6234" w14:textId="77777777" w:rsidR="00532552" w:rsidRPr="004F345B" w:rsidRDefault="00532552" w:rsidP="005E4568">
            <w:pPr>
              <w:spacing w:line="276" w:lineRule="auto"/>
              <w:rPr>
                <w:rFonts w:cstheme="minorHAnsi"/>
              </w:rPr>
            </w:pPr>
          </w:p>
        </w:tc>
        <w:tc>
          <w:tcPr>
            <w:tcW w:w="2358" w:type="dxa"/>
          </w:tcPr>
          <w:p w14:paraId="46A72CE6" w14:textId="3A619361" w:rsidR="00532552" w:rsidRPr="004F345B" w:rsidRDefault="00532552" w:rsidP="005E4568">
            <w:pPr>
              <w:spacing w:line="276" w:lineRule="auto"/>
              <w:rPr>
                <w:rFonts w:eastAsia="Times New Roman" w:cstheme="minorHAnsi"/>
                <w:lang w:eastAsia="en-GB"/>
              </w:rPr>
            </w:pPr>
            <w:r w:rsidRPr="004F345B">
              <w:rPr>
                <w:rFonts w:eastAsia="Times New Roman" w:cstheme="minorHAnsi"/>
                <w:lang w:eastAsia="en-GB"/>
              </w:rPr>
              <w:t>Access</w:t>
            </w:r>
          </w:p>
        </w:tc>
      </w:tr>
      <w:tr w:rsidR="00532552" w:rsidRPr="004F345B" w14:paraId="3F52848D" w14:textId="77777777" w:rsidTr="00396CB3">
        <w:tc>
          <w:tcPr>
            <w:tcW w:w="2263" w:type="dxa"/>
          </w:tcPr>
          <w:p w14:paraId="4B76E95E" w14:textId="57933DB3" w:rsidR="00532552" w:rsidRPr="004F345B" w:rsidRDefault="00532552" w:rsidP="005E4568">
            <w:pPr>
              <w:spacing w:line="276" w:lineRule="auto"/>
              <w:rPr>
                <w:rFonts w:cstheme="minorHAnsi"/>
              </w:rPr>
            </w:pPr>
            <w:r w:rsidRPr="004F345B">
              <w:rPr>
                <w:rFonts w:cstheme="minorHAnsi"/>
              </w:rPr>
              <w:t>Refugee</w:t>
            </w:r>
          </w:p>
        </w:tc>
        <w:tc>
          <w:tcPr>
            <w:tcW w:w="851" w:type="dxa"/>
            <w:vMerge/>
          </w:tcPr>
          <w:p w14:paraId="2BE3A8EC" w14:textId="77777777" w:rsidR="00532552" w:rsidRPr="004F345B" w:rsidRDefault="00532552" w:rsidP="005E4568">
            <w:pPr>
              <w:spacing w:line="276" w:lineRule="auto"/>
              <w:rPr>
                <w:rFonts w:cstheme="minorHAnsi"/>
              </w:rPr>
            </w:pPr>
          </w:p>
        </w:tc>
        <w:tc>
          <w:tcPr>
            <w:tcW w:w="2551" w:type="dxa"/>
            <w:vMerge/>
          </w:tcPr>
          <w:p w14:paraId="57D41D2E" w14:textId="77777777" w:rsidR="00532552" w:rsidRPr="004F345B" w:rsidRDefault="00532552" w:rsidP="005E4568">
            <w:pPr>
              <w:spacing w:line="276" w:lineRule="auto"/>
              <w:rPr>
                <w:rFonts w:cstheme="minorHAnsi"/>
              </w:rPr>
            </w:pPr>
          </w:p>
        </w:tc>
        <w:tc>
          <w:tcPr>
            <w:tcW w:w="993" w:type="dxa"/>
            <w:vMerge/>
          </w:tcPr>
          <w:p w14:paraId="7F70576E" w14:textId="77777777" w:rsidR="00532552" w:rsidRPr="004F345B" w:rsidRDefault="00532552" w:rsidP="005E4568">
            <w:pPr>
              <w:spacing w:line="276" w:lineRule="auto"/>
              <w:rPr>
                <w:rFonts w:cstheme="minorHAnsi"/>
              </w:rPr>
            </w:pPr>
          </w:p>
        </w:tc>
        <w:tc>
          <w:tcPr>
            <w:tcW w:w="2358" w:type="dxa"/>
            <w:vMerge w:val="restart"/>
          </w:tcPr>
          <w:p w14:paraId="13D7227B" w14:textId="77777777" w:rsidR="00532552" w:rsidRPr="004F345B" w:rsidRDefault="00532552" w:rsidP="005E4568">
            <w:pPr>
              <w:spacing w:line="276" w:lineRule="auto"/>
              <w:rPr>
                <w:rFonts w:eastAsia="Times New Roman" w:cstheme="minorHAnsi"/>
                <w:lang w:eastAsia="en-GB"/>
              </w:rPr>
            </w:pPr>
          </w:p>
        </w:tc>
      </w:tr>
      <w:tr w:rsidR="00532552" w:rsidRPr="004F345B" w14:paraId="6F76F20C" w14:textId="77777777" w:rsidTr="00396CB3">
        <w:tc>
          <w:tcPr>
            <w:tcW w:w="2263" w:type="dxa"/>
          </w:tcPr>
          <w:p w14:paraId="0F8B066F" w14:textId="34440363" w:rsidR="00532552" w:rsidRPr="004F345B" w:rsidRDefault="00532552" w:rsidP="005E4568">
            <w:pPr>
              <w:spacing w:line="276" w:lineRule="auto"/>
              <w:rPr>
                <w:rFonts w:cstheme="minorHAnsi"/>
              </w:rPr>
            </w:pPr>
            <w:r w:rsidRPr="004F345B">
              <w:rPr>
                <w:rFonts w:cstheme="minorHAnsi"/>
              </w:rPr>
              <w:t>Asylum seeker</w:t>
            </w:r>
          </w:p>
        </w:tc>
        <w:tc>
          <w:tcPr>
            <w:tcW w:w="851" w:type="dxa"/>
            <w:vMerge/>
          </w:tcPr>
          <w:p w14:paraId="63827C75" w14:textId="77777777" w:rsidR="00532552" w:rsidRPr="004F345B" w:rsidRDefault="00532552" w:rsidP="005E4568">
            <w:pPr>
              <w:spacing w:line="276" w:lineRule="auto"/>
              <w:rPr>
                <w:rFonts w:cstheme="minorHAnsi"/>
              </w:rPr>
            </w:pPr>
          </w:p>
        </w:tc>
        <w:tc>
          <w:tcPr>
            <w:tcW w:w="2551" w:type="dxa"/>
            <w:vMerge/>
          </w:tcPr>
          <w:p w14:paraId="1FED6DD2" w14:textId="77777777" w:rsidR="00532552" w:rsidRPr="004F345B" w:rsidRDefault="00532552" w:rsidP="005E4568">
            <w:pPr>
              <w:spacing w:line="276" w:lineRule="auto"/>
              <w:rPr>
                <w:rFonts w:cstheme="minorHAnsi"/>
              </w:rPr>
            </w:pPr>
          </w:p>
        </w:tc>
        <w:tc>
          <w:tcPr>
            <w:tcW w:w="993" w:type="dxa"/>
            <w:vMerge/>
          </w:tcPr>
          <w:p w14:paraId="729AD88B" w14:textId="77777777" w:rsidR="00532552" w:rsidRPr="004F345B" w:rsidRDefault="00532552" w:rsidP="005E4568">
            <w:pPr>
              <w:spacing w:line="276" w:lineRule="auto"/>
              <w:rPr>
                <w:rFonts w:cstheme="minorHAnsi"/>
              </w:rPr>
            </w:pPr>
          </w:p>
        </w:tc>
        <w:tc>
          <w:tcPr>
            <w:tcW w:w="2358" w:type="dxa"/>
            <w:vMerge/>
          </w:tcPr>
          <w:p w14:paraId="397242BC" w14:textId="77777777" w:rsidR="00532552" w:rsidRPr="004F345B" w:rsidRDefault="00532552" w:rsidP="005E4568">
            <w:pPr>
              <w:spacing w:line="276" w:lineRule="auto"/>
              <w:rPr>
                <w:rFonts w:eastAsia="Times New Roman" w:cstheme="minorHAnsi"/>
                <w:lang w:eastAsia="en-GB"/>
              </w:rPr>
            </w:pPr>
          </w:p>
        </w:tc>
      </w:tr>
      <w:tr w:rsidR="00532552" w:rsidRPr="004F345B" w14:paraId="3670344C" w14:textId="77777777" w:rsidTr="00396CB3">
        <w:tc>
          <w:tcPr>
            <w:tcW w:w="2263" w:type="dxa"/>
          </w:tcPr>
          <w:p w14:paraId="1B80C151" w14:textId="1E27601E" w:rsidR="00532552" w:rsidRPr="004F345B" w:rsidRDefault="00532552" w:rsidP="005E4568">
            <w:pPr>
              <w:spacing w:line="276" w:lineRule="auto"/>
              <w:rPr>
                <w:rFonts w:cstheme="minorHAnsi"/>
              </w:rPr>
            </w:pPr>
            <w:r w:rsidRPr="004F345B">
              <w:rPr>
                <w:rFonts w:cstheme="minorHAnsi"/>
              </w:rPr>
              <w:t>Racialised</w:t>
            </w:r>
          </w:p>
        </w:tc>
        <w:tc>
          <w:tcPr>
            <w:tcW w:w="851" w:type="dxa"/>
            <w:vMerge/>
          </w:tcPr>
          <w:p w14:paraId="358511B9" w14:textId="77777777" w:rsidR="00532552" w:rsidRPr="004F345B" w:rsidRDefault="00532552" w:rsidP="005E4568">
            <w:pPr>
              <w:spacing w:line="276" w:lineRule="auto"/>
              <w:rPr>
                <w:rFonts w:cstheme="minorHAnsi"/>
              </w:rPr>
            </w:pPr>
          </w:p>
        </w:tc>
        <w:tc>
          <w:tcPr>
            <w:tcW w:w="2551" w:type="dxa"/>
            <w:vMerge/>
          </w:tcPr>
          <w:p w14:paraId="4D05C31E" w14:textId="77777777" w:rsidR="00532552" w:rsidRPr="004F345B" w:rsidRDefault="00532552" w:rsidP="005E4568">
            <w:pPr>
              <w:spacing w:line="276" w:lineRule="auto"/>
              <w:rPr>
                <w:rFonts w:cstheme="minorHAnsi"/>
              </w:rPr>
            </w:pPr>
          </w:p>
        </w:tc>
        <w:tc>
          <w:tcPr>
            <w:tcW w:w="993" w:type="dxa"/>
            <w:vMerge/>
          </w:tcPr>
          <w:p w14:paraId="711B38BA" w14:textId="77777777" w:rsidR="00532552" w:rsidRPr="004F345B" w:rsidRDefault="00532552" w:rsidP="005E4568">
            <w:pPr>
              <w:spacing w:line="276" w:lineRule="auto"/>
              <w:rPr>
                <w:rFonts w:cstheme="minorHAnsi"/>
              </w:rPr>
            </w:pPr>
          </w:p>
        </w:tc>
        <w:tc>
          <w:tcPr>
            <w:tcW w:w="2358" w:type="dxa"/>
            <w:vMerge/>
          </w:tcPr>
          <w:p w14:paraId="3C5C27D0" w14:textId="77777777" w:rsidR="00532552" w:rsidRPr="004F345B" w:rsidRDefault="00532552" w:rsidP="005E4568">
            <w:pPr>
              <w:spacing w:line="276" w:lineRule="auto"/>
              <w:rPr>
                <w:rFonts w:eastAsia="Times New Roman" w:cstheme="minorHAnsi"/>
                <w:lang w:eastAsia="en-GB"/>
              </w:rPr>
            </w:pPr>
          </w:p>
        </w:tc>
      </w:tr>
      <w:tr w:rsidR="00532552" w:rsidRPr="004F345B" w14:paraId="6909588C" w14:textId="77777777" w:rsidTr="00396CB3">
        <w:tc>
          <w:tcPr>
            <w:tcW w:w="2263" w:type="dxa"/>
          </w:tcPr>
          <w:p w14:paraId="222F5412" w14:textId="1AEDF4F6" w:rsidR="00532552" w:rsidRPr="004F345B" w:rsidRDefault="00532552" w:rsidP="005E4568">
            <w:pPr>
              <w:spacing w:line="276" w:lineRule="auto"/>
              <w:rPr>
                <w:rFonts w:cstheme="minorHAnsi"/>
              </w:rPr>
            </w:pPr>
            <w:r w:rsidRPr="004F345B">
              <w:rPr>
                <w:rFonts w:cstheme="minorHAnsi"/>
              </w:rPr>
              <w:t>African</w:t>
            </w:r>
          </w:p>
        </w:tc>
        <w:tc>
          <w:tcPr>
            <w:tcW w:w="851" w:type="dxa"/>
            <w:vMerge/>
          </w:tcPr>
          <w:p w14:paraId="0CB90824" w14:textId="77777777" w:rsidR="00532552" w:rsidRPr="004F345B" w:rsidRDefault="00532552" w:rsidP="005E4568">
            <w:pPr>
              <w:spacing w:line="276" w:lineRule="auto"/>
              <w:rPr>
                <w:rFonts w:cstheme="minorHAnsi"/>
              </w:rPr>
            </w:pPr>
          </w:p>
        </w:tc>
        <w:tc>
          <w:tcPr>
            <w:tcW w:w="2551" w:type="dxa"/>
            <w:vMerge/>
          </w:tcPr>
          <w:p w14:paraId="317A1024" w14:textId="77777777" w:rsidR="00532552" w:rsidRPr="004F345B" w:rsidRDefault="00532552" w:rsidP="005E4568">
            <w:pPr>
              <w:spacing w:line="276" w:lineRule="auto"/>
              <w:rPr>
                <w:rFonts w:cstheme="minorHAnsi"/>
              </w:rPr>
            </w:pPr>
          </w:p>
        </w:tc>
        <w:tc>
          <w:tcPr>
            <w:tcW w:w="993" w:type="dxa"/>
            <w:vMerge/>
          </w:tcPr>
          <w:p w14:paraId="32C9FE5C" w14:textId="77777777" w:rsidR="00532552" w:rsidRPr="004F345B" w:rsidRDefault="00532552" w:rsidP="005E4568">
            <w:pPr>
              <w:spacing w:line="276" w:lineRule="auto"/>
              <w:rPr>
                <w:rFonts w:cstheme="minorHAnsi"/>
              </w:rPr>
            </w:pPr>
          </w:p>
        </w:tc>
        <w:tc>
          <w:tcPr>
            <w:tcW w:w="2358" w:type="dxa"/>
            <w:vMerge/>
          </w:tcPr>
          <w:p w14:paraId="0A2FDBA1" w14:textId="77777777" w:rsidR="00532552" w:rsidRPr="004F345B" w:rsidRDefault="00532552" w:rsidP="005E4568">
            <w:pPr>
              <w:spacing w:line="276" w:lineRule="auto"/>
              <w:rPr>
                <w:rFonts w:eastAsia="Times New Roman" w:cstheme="minorHAnsi"/>
                <w:lang w:eastAsia="en-GB"/>
              </w:rPr>
            </w:pPr>
          </w:p>
        </w:tc>
      </w:tr>
      <w:tr w:rsidR="00532552" w:rsidRPr="004F345B" w14:paraId="1ABB6F28" w14:textId="77777777" w:rsidTr="00396CB3">
        <w:tc>
          <w:tcPr>
            <w:tcW w:w="2263" w:type="dxa"/>
          </w:tcPr>
          <w:p w14:paraId="78350CE5" w14:textId="4598D03B" w:rsidR="00532552" w:rsidRPr="004F345B" w:rsidRDefault="00532552" w:rsidP="005E4568">
            <w:pPr>
              <w:spacing w:line="276" w:lineRule="auto"/>
              <w:rPr>
                <w:rFonts w:cstheme="minorHAnsi"/>
              </w:rPr>
            </w:pPr>
            <w:r w:rsidRPr="004F345B">
              <w:rPr>
                <w:rFonts w:cstheme="minorHAnsi"/>
              </w:rPr>
              <w:t>Asian</w:t>
            </w:r>
          </w:p>
        </w:tc>
        <w:tc>
          <w:tcPr>
            <w:tcW w:w="851" w:type="dxa"/>
            <w:vMerge/>
          </w:tcPr>
          <w:p w14:paraId="263CA05C" w14:textId="77777777" w:rsidR="00532552" w:rsidRPr="004F345B" w:rsidRDefault="00532552" w:rsidP="005E4568">
            <w:pPr>
              <w:spacing w:line="276" w:lineRule="auto"/>
              <w:rPr>
                <w:rFonts w:cstheme="minorHAnsi"/>
              </w:rPr>
            </w:pPr>
          </w:p>
        </w:tc>
        <w:tc>
          <w:tcPr>
            <w:tcW w:w="2551" w:type="dxa"/>
            <w:vMerge/>
          </w:tcPr>
          <w:p w14:paraId="7EE0A3F0" w14:textId="77777777" w:rsidR="00532552" w:rsidRPr="004F345B" w:rsidRDefault="00532552" w:rsidP="005E4568">
            <w:pPr>
              <w:spacing w:line="276" w:lineRule="auto"/>
              <w:rPr>
                <w:rFonts w:cstheme="minorHAnsi"/>
              </w:rPr>
            </w:pPr>
          </w:p>
        </w:tc>
        <w:tc>
          <w:tcPr>
            <w:tcW w:w="993" w:type="dxa"/>
            <w:vMerge/>
          </w:tcPr>
          <w:p w14:paraId="0AFE2913" w14:textId="77777777" w:rsidR="00532552" w:rsidRPr="004F345B" w:rsidRDefault="00532552" w:rsidP="005E4568">
            <w:pPr>
              <w:spacing w:line="276" w:lineRule="auto"/>
              <w:rPr>
                <w:rFonts w:cstheme="minorHAnsi"/>
              </w:rPr>
            </w:pPr>
          </w:p>
        </w:tc>
        <w:tc>
          <w:tcPr>
            <w:tcW w:w="2358" w:type="dxa"/>
            <w:vMerge/>
          </w:tcPr>
          <w:p w14:paraId="537A6D2E" w14:textId="77777777" w:rsidR="00532552" w:rsidRPr="004F345B" w:rsidRDefault="00532552" w:rsidP="005E4568">
            <w:pPr>
              <w:spacing w:line="276" w:lineRule="auto"/>
              <w:rPr>
                <w:rFonts w:eastAsia="Times New Roman" w:cstheme="minorHAnsi"/>
                <w:lang w:eastAsia="en-GB"/>
              </w:rPr>
            </w:pPr>
          </w:p>
        </w:tc>
      </w:tr>
      <w:tr w:rsidR="00532552" w:rsidRPr="004F345B" w14:paraId="691B9C27" w14:textId="77777777" w:rsidTr="00396CB3">
        <w:tc>
          <w:tcPr>
            <w:tcW w:w="2263" w:type="dxa"/>
          </w:tcPr>
          <w:p w14:paraId="7C4F6AB8" w14:textId="71EBEDF7" w:rsidR="00532552" w:rsidRPr="004F345B" w:rsidRDefault="00532552" w:rsidP="005E4568">
            <w:pPr>
              <w:spacing w:line="276" w:lineRule="auto"/>
              <w:rPr>
                <w:rFonts w:cstheme="minorHAnsi"/>
              </w:rPr>
            </w:pPr>
            <w:r w:rsidRPr="004F345B">
              <w:rPr>
                <w:rFonts w:cstheme="minorHAnsi"/>
              </w:rPr>
              <w:t>Muslim</w:t>
            </w:r>
          </w:p>
        </w:tc>
        <w:tc>
          <w:tcPr>
            <w:tcW w:w="851" w:type="dxa"/>
            <w:vMerge/>
          </w:tcPr>
          <w:p w14:paraId="0DBE0D2F" w14:textId="77777777" w:rsidR="00532552" w:rsidRPr="004F345B" w:rsidRDefault="00532552" w:rsidP="005E4568">
            <w:pPr>
              <w:spacing w:line="276" w:lineRule="auto"/>
              <w:rPr>
                <w:rFonts w:cstheme="minorHAnsi"/>
              </w:rPr>
            </w:pPr>
          </w:p>
        </w:tc>
        <w:tc>
          <w:tcPr>
            <w:tcW w:w="2551" w:type="dxa"/>
            <w:vMerge/>
          </w:tcPr>
          <w:p w14:paraId="4F0C6CC2" w14:textId="77777777" w:rsidR="00532552" w:rsidRPr="004F345B" w:rsidRDefault="00532552" w:rsidP="005E4568">
            <w:pPr>
              <w:spacing w:line="276" w:lineRule="auto"/>
              <w:rPr>
                <w:rFonts w:cstheme="minorHAnsi"/>
              </w:rPr>
            </w:pPr>
          </w:p>
        </w:tc>
        <w:tc>
          <w:tcPr>
            <w:tcW w:w="993" w:type="dxa"/>
            <w:vMerge/>
          </w:tcPr>
          <w:p w14:paraId="2AB54085" w14:textId="77777777" w:rsidR="00532552" w:rsidRPr="004F345B" w:rsidRDefault="00532552" w:rsidP="005E4568">
            <w:pPr>
              <w:spacing w:line="276" w:lineRule="auto"/>
              <w:rPr>
                <w:rFonts w:cstheme="minorHAnsi"/>
              </w:rPr>
            </w:pPr>
          </w:p>
        </w:tc>
        <w:tc>
          <w:tcPr>
            <w:tcW w:w="2358" w:type="dxa"/>
            <w:vMerge/>
          </w:tcPr>
          <w:p w14:paraId="0678F354" w14:textId="77777777" w:rsidR="00532552" w:rsidRPr="004F345B" w:rsidRDefault="00532552" w:rsidP="005E4568">
            <w:pPr>
              <w:spacing w:line="276" w:lineRule="auto"/>
              <w:rPr>
                <w:rFonts w:eastAsia="Times New Roman" w:cstheme="minorHAnsi"/>
                <w:lang w:eastAsia="en-GB"/>
              </w:rPr>
            </w:pPr>
          </w:p>
        </w:tc>
      </w:tr>
    </w:tbl>
    <w:p w14:paraId="0D3165B5" w14:textId="29713D8B" w:rsidR="00261A68" w:rsidRPr="004F345B" w:rsidRDefault="00261A68" w:rsidP="005E4568">
      <w:pPr>
        <w:spacing w:line="276" w:lineRule="auto"/>
        <w:rPr>
          <w:rFonts w:cstheme="minorHAnsi"/>
        </w:rPr>
      </w:pPr>
    </w:p>
    <w:p w14:paraId="7852CA98" w14:textId="0827F0F8" w:rsidR="00261A68" w:rsidRPr="004F345B" w:rsidRDefault="00261A68" w:rsidP="005E4568">
      <w:pPr>
        <w:spacing w:line="276" w:lineRule="auto"/>
        <w:rPr>
          <w:rFonts w:cstheme="minorHAnsi"/>
          <w:b/>
          <w:bCs/>
        </w:rPr>
      </w:pPr>
      <w:r w:rsidRPr="004F345B">
        <w:rPr>
          <w:rFonts w:cstheme="minorHAnsi"/>
          <w:b/>
          <w:bCs/>
        </w:rPr>
        <w:t xml:space="preserve">Grey literature </w:t>
      </w:r>
    </w:p>
    <w:p w14:paraId="1821CFFF" w14:textId="0DBAC37B" w:rsidR="0019753E" w:rsidRPr="004F345B" w:rsidRDefault="68E37539" w:rsidP="5549FB28">
      <w:pPr>
        <w:spacing w:line="276" w:lineRule="auto"/>
      </w:pPr>
      <w:r w:rsidRPr="5549FB28">
        <w:t>Grey literature</w:t>
      </w:r>
      <w:r w:rsidR="18AF3B31" w:rsidRPr="5549FB28">
        <w:t xml:space="preserve"> search using </w:t>
      </w:r>
      <w:proofErr w:type="spellStart"/>
      <w:r w:rsidR="18AF3B31" w:rsidRPr="5549FB28">
        <w:t>OpenGrey</w:t>
      </w:r>
      <w:proofErr w:type="spellEnd"/>
      <w:r w:rsidR="18AF3B31" w:rsidRPr="5549FB28">
        <w:t xml:space="preserve"> on-line database and specific searches</w:t>
      </w:r>
      <w:r w:rsidRPr="5549FB28">
        <w:t xml:space="preserve"> i</w:t>
      </w:r>
      <w:r w:rsidR="4FE626F0" w:rsidRPr="5549FB28">
        <w:t>ncluding</w:t>
      </w:r>
      <w:r w:rsidR="25CC02B3" w:rsidRPr="5549FB28">
        <w:t xml:space="preserve"> exi</w:t>
      </w:r>
      <w:r w:rsidR="2ACFEBDA" w:rsidRPr="5549FB28">
        <w:t>s</w:t>
      </w:r>
      <w:r w:rsidR="25CC02B3" w:rsidRPr="5549FB28">
        <w:t xml:space="preserve">ting practice documents or toolkits developed by health or social care providers aimed at increasing or facilitating access for </w:t>
      </w:r>
      <w:r w:rsidR="18AF3B31" w:rsidRPr="5549FB28">
        <w:t xml:space="preserve">racialised women in maternity settings. </w:t>
      </w:r>
    </w:p>
    <w:p w14:paraId="457A0703" w14:textId="6095D986" w:rsidR="00A42BE9" w:rsidRPr="004F345B" w:rsidRDefault="00A42BE9" w:rsidP="005E4568">
      <w:pPr>
        <w:spacing w:line="276" w:lineRule="auto"/>
        <w:rPr>
          <w:rFonts w:cstheme="minorHAnsi"/>
        </w:rPr>
      </w:pPr>
    </w:p>
    <w:p w14:paraId="6FC6D340" w14:textId="1678A0B9" w:rsidR="004F345B" w:rsidRDefault="004F345B" w:rsidP="005E4568">
      <w:pPr>
        <w:spacing w:line="276" w:lineRule="auto"/>
        <w:rPr>
          <w:rFonts w:cstheme="minorHAnsi"/>
          <w:b/>
          <w:bCs/>
        </w:rPr>
      </w:pPr>
      <w:r w:rsidRPr="004F345B">
        <w:rPr>
          <w:rFonts w:cstheme="minorHAnsi"/>
          <w:b/>
          <w:bCs/>
        </w:rPr>
        <w:t>Data analysis</w:t>
      </w:r>
    </w:p>
    <w:p w14:paraId="45B5E7D0" w14:textId="0253672B" w:rsidR="004F345B" w:rsidRDefault="18AF3B31" w:rsidP="5549FB28">
      <w:pPr>
        <w:pBdr>
          <w:bottom w:val="single" w:sz="6" w:space="1" w:color="auto"/>
        </w:pBdr>
        <w:spacing w:line="276" w:lineRule="auto"/>
        <w:rPr>
          <w:color w:val="000000"/>
        </w:rPr>
      </w:pPr>
      <w:r w:rsidRPr="5549FB28">
        <w:rPr>
          <w:color w:val="000000" w:themeColor="text1"/>
        </w:rPr>
        <w:t xml:space="preserve">Qualitative data from the selected literature will be analysed using thematic inductive analysis. Any quantitative data gathered will be synthesised where possible. </w:t>
      </w:r>
    </w:p>
    <w:p w14:paraId="3036F61A" w14:textId="19CDC56C" w:rsidR="00272613" w:rsidRPr="004F345B" w:rsidRDefault="00272613" w:rsidP="5549FB28">
      <w:pPr>
        <w:spacing w:after="150" w:line="276" w:lineRule="auto"/>
        <w:rPr>
          <w:lang w:eastAsia="en-GB"/>
        </w:rPr>
      </w:pPr>
    </w:p>
    <w:p w14:paraId="0D443A49" w14:textId="77777777" w:rsidR="00272613" w:rsidRPr="004F345B" w:rsidRDefault="00272613" w:rsidP="00272613">
      <w:pPr>
        <w:autoSpaceDE w:val="0"/>
        <w:autoSpaceDN w:val="0"/>
        <w:adjustRightInd w:val="0"/>
        <w:spacing w:after="240" w:line="276" w:lineRule="auto"/>
        <w:rPr>
          <w:rFonts w:cstheme="minorHAnsi"/>
          <w:b/>
          <w:bCs/>
        </w:rPr>
      </w:pPr>
      <w:r w:rsidRPr="004F345B">
        <w:rPr>
          <w:rFonts w:cstheme="minorHAnsi"/>
          <w:b/>
          <w:bCs/>
        </w:rPr>
        <w:t>References</w:t>
      </w:r>
    </w:p>
    <w:p w14:paraId="3DD492C4" w14:textId="4D8C51E2" w:rsidR="00272613" w:rsidRPr="00992763" w:rsidRDefault="0D222E42" w:rsidP="5549FB28">
      <w:pPr>
        <w:autoSpaceDE w:val="0"/>
        <w:autoSpaceDN w:val="0"/>
        <w:adjustRightInd w:val="0"/>
        <w:spacing w:after="30"/>
        <w:rPr>
          <w:rFonts w:eastAsiaTheme="minorEastAsia"/>
        </w:rPr>
      </w:pPr>
      <w:r w:rsidRPr="5549FB28">
        <w:rPr>
          <w:rFonts w:eastAsiaTheme="minorEastAsia"/>
        </w:rPr>
        <w:t xml:space="preserve">Adler, K., </w:t>
      </w:r>
      <w:proofErr w:type="spellStart"/>
      <w:r w:rsidRPr="5549FB28">
        <w:rPr>
          <w:rFonts w:eastAsiaTheme="minorEastAsia"/>
        </w:rPr>
        <w:t>Rahkonen</w:t>
      </w:r>
      <w:proofErr w:type="spellEnd"/>
      <w:r w:rsidRPr="5549FB28">
        <w:rPr>
          <w:rFonts w:eastAsiaTheme="minorEastAsia"/>
        </w:rPr>
        <w:t xml:space="preserve">, L. and </w:t>
      </w:r>
      <w:proofErr w:type="spellStart"/>
      <w:r w:rsidRPr="5549FB28">
        <w:rPr>
          <w:rFonts w:eastAsiaTheme="minorEastAsia"/>
        </w:rPr>
        <w:t>Kruit</w:t>
      </w:r>
      <w:proofErr w:type="spellEnd"/>
      <w:r w:rsidRPr="5549FB28">
        <w:rPr>
          <w:rFonts w:eastAsiaTheme="minorEastAsia"/>
        </w:rPr>
        <w:t xml:space="preserve">, H. (2020). Maternal childbirth experience in induced and spontaneous labour measured in a visual </w:t>
      </w:r>
      <w:proofErr w:type="spellStart"/>
      <w:r w:rsidRPr="5549FB28">
        <w:rPr>
          <w:rFonts w:eastAsiaTheme="minorEastAsia"/>
        </w:rPr>
        <w:t>analog</w:t>
      </w:r>
      <w:proofErr w:type="spellEnd"/>
      <w:r w:rsidRPr="5549FB28">
        <w:rPr>
          <w:rFonts w:eastAsiaTheme="minorEastAsia"/>
        </w:rPr>
        <w:t xml:space="preserve"> scale and the factors influencing </w:t>
      </w:r>
      <w:proofErr w:type="gramStart"/>
      <w:r w:rsidRPr="5549FB28">
        <w:rPr>
          <w:rFonts w:eastAsiaTheme="minorEastAsia"/>
        </w:rPr>
        <w:t>it;</w:t>
      </w:r>
      <w:proofErr w:type="gramEnd"/>
      <w:r w:rsidRPr="5549FB28">
        <w:rPr>
          <w:rFonts w:eastAsiaTheme="minorEastAsia"/>
        </w:rPr>
        <w:t xml:space="preserve"> a two-year cohort study. </w:t>
      </w:r>
      <w:r w:rsidRPr="5549FB28">
        <w:rPr>
          <w:rFonts w:eastAsiaTheme="minorEastAsia"/>
          <w:i/>
          <w:iCs/>
        </w:rPr>
        <w:t>BMC Pregnancy and Childbirth</w:t>
      </w:r>
      <w:r w:rsidRPr="5549FB28">
        <w:rPr>
          <w:rFonts w:eastAsiaTheme="minorEastAsia"/>
        </w:rPr>
        <w:t>, 20(1). doi:10.1186/s12884-020-03106-4.</w:t>
      </w:r>
    </w:p>
    <w:p w14:paraId="1B2E35A7" w14:textId="7AC42FB2" w:rsidR="00992763" w:rsidRPr="00992763" w:rsidRDefault="1A43587B" w:rsidP="5549FB28">
      <w:pPr>
        <w:pStyle w:val="NormalWeb"/>
        <w:spacing w:before="0" w:beforeAutospacing="0" w:after="30" w:afterAutospacing="0"/>
        <w:rPr>
          <w:rFonts w:asciiTheme="minorHAnsi" w:eastAsiaTheme="minorEastAsia" w:hAnsiTheme="minorHAnsi" w:cstheme="minorBidi"/>
        </w:rPr>
      </w:pPr>
      <w:r w:rsidRPr="5549FB28">
        <w:rPr>
          <w:rFonts w:asciiTheme="minorHAnsi" w:eastAsiaTheme="minorEastAsia" w:hAnsiTheme="minorHAnsi" w:cstheme="minorBidi"/>
        </w:rPr>
        <w:lastRenderedPageBreak/>
        <w:t xml:space="preserve">Birmingham City Council (2011a). </w:t>
      </w:r>
      <w:r w:rsidRPr="5549FB28">
        <w:rPr>
          <w:rFonts w:asciiTheme="minorHAnsi" w:eastAsiaTheme="minorEastAsia" w:hAnsiTheme="minorHAnsi" w:cstheme="minorBidi"/>
          <w:i/>
          <w:iCs/>
        </w:rPr>
        <w:t>Ethnic Communities</w:t>
      </w:r>
      <w:r w:rsidRPr="5549FB28">
        <w:rPr>
          <w:rFonts w:asciiTheme="minorHAnsi" w:eastAsiaTheme="minorEastAsia" w:hAnsiTheme="minorHAnsi" w:cstheme="minorBidi"/>
        </w:rPr>
        <w:t>. [online] www.birmingham.gov.uk. Available at: https://www.birmingham.gov.uk/info/50265/supporting_healthier_communities/2438/ethnic_communities/2.</w:t>
      </w:r>
    </w:p>
    <w:p w14:paraId="042B2B85" w14:textId="212E1D55" w:rsidR="5549FB28" w:rsidRDefault="5549FB28" w:rsidP="5549FB28">
      <w:pPr>
        <w:pStyle w:val="NormalWeb"/>
        <w:spacing w:before="0" w:beforeAutospacing="0" w:after="30" w:afterAutospacing="0"/>
        <w:rPr>
          <w:rFonts w:asciiTheme="minorHAnsi" w:eastAsiaTheme="minorEastAsia" w:hAnsiTheme="minorHAnsi" w:cstheme="minorBidi"/>
        </w:rPr>
      </w:pPr>
    </w:p>
    <w:p w14:paraId="1F0F4E49" w14:textId="7DB33CC2" w:rsidR="00272613" w:rsidRPr="004F345B" w:rsidRDefault="0D222E42" w:rsidP="5549FB28">
      <w:pPr>
        <w:autoSpaceDE w:val="0"/>
        <w:autoSpaceDN w:val="0"/>
        <w:adjustRightInd w:val="0"/>
        <w:spacing w:after="30"/>
        <w:rPr>
          <w:rFonts w:eastAsiaTheme="minorEastAsia"/>
        </w:rPr>
      </w:pPr>
      <w:r w:rsidRPr="5549FB28">
        <w:rPr>
          <w:rFonts w:eastAsiaTheme="minorEastAsia"/>
        </w:rPr>
        <w:t>Birmingham City Council (2021</w:t>
      </w:r>
      <w:r w:rsidR="1A43587B" w:rsidRPr="5549FB28">
        <w:rPr>
          <w:rFonts w:eastAsiaTheme="minorEastAsia"/>
        </w:rPr>
        <w:t>b</w:t>
      </w:r>
      <w:r w:rsidRPr="5549FB28">
        <w:rPr>
          <w:rFonts w:eastAsiaTheme="minorEastAsia"/>
        </w:rPr>
        <w:t xml:space="preserve">). </w:t>
      </w:r>
      <w:r w:rsidRPr="5549FB28">
        <w:rPr>
          <w:rFonts w:eastAsiaTheme="minorEastAsia"/>
          <w:i/>
          <w:iCs/>
        </w:rPr>
        <w:t>2020 BIRTHS IN BIRMINGHAM</w:t>
      </w:r>
      <w:r w:rsidRPr="5549FB28">
        <w:rPr>
          <w:rFonts w:eastAsiaTheme="minorEastAsia"/>
        </w:rPr>
        <w:t>. [online] Available at: https://www.birmingham.gov.uk/download/downloads/id/21613/2019_to_2020_births_in_birmingham.pdf.</w:t>
      </w:r>
    </w:p>
    <w:p w14:paraId="20F47D36" w14:textId="1D4C6486" w:rsidR="5549FB28" w:rsidRDefault="5549FB28" w:rsidP="5549FB28">
      <w:pPr>
        <w:spacing w:after="30"/>
        <w:rPr>
          <w:rFonts w:eastAsiaTheme="minorEastAsia"/>
        </w:rPr>
      </w:pPr>
    </w:p>
    <w:p w14:paraId="293AFB45" w14:textId="5B24C532"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Birthplace in England Collaborative Group (2011). Perinatal and Maternal Outcomes by Planned Place of Birth for Healthy Women with </w:t>
      </w:r>
      <w:proofErr w:type="gramStart"/>
      <w:r w:rsidRPr="5549FB28">
        <w:rPr>
          <w:rFonts w:eastAsiaTheme="minorEastAsia"/>
        </w:rPr>
        <w:t>Low Risk</w:t>
      </w:r>
      <w:proofErr w:type="gramEnd"/>
      <w:r w:rsidRPr="5549FB28">
        <w:rPr>
          <w:rFonts w:eastAsiaTheme="minorEastAsia"/>
        </w:rPr>
        <w:t xml:space="preserve"> pregnancies: the Birthplace in England National Prospective Cohort Study. </w:t>
      </w:r>
      <w:r w:rsidRPr="5549FB28">
        <w:rPr>
          <w:rFonts w:eastAsiaTheme="minorEastAsia"/>
          <w:i/>
          <w:iCs/>
        </w:rPr>
        <w:t>BMJ</w:t>
      </w:r>
      <w:r w:rsidRPr="5549FB28">
        <w:rPr>
          <w:rFonts w:eastAsiaTheme="minorEastAsia"/>
        </w:rPr>
        <w:t>, [online] 343</w:t>
      </w:r>
      <w:r w:rsidR="272F05A9" w:rsidRPr="5549FB28">
        <w:rPr>
          <w:rFonts w:eastAsiaTheme="minorEastAsia"/>
        </w:rPr>
        <w:t xml:space="preserve"> </w:t>
      </w:r>
      <w:r w:rsidRPr="5549FB28">
        <w:rPr>
          <w:rFonts w:eastAsiaTheme="minorEastAsia"/>
        </w:rPr>
        <w:t xml:space="preserve">(nov23 4), </w:t>
      </w:r>
      <w:proofErr w:type="gramStart"/>
      <w:r w:rsidRPr="5549FB28">
        <w:rPr>
          <w:rFonts w:eastAsiaTheme="minorEastAsia"/>
        </w:rPr>
        <w:t>pp.d</w:t>
      </w:r>
      <w:proofErr w:type="gramEnd"/>
      <w:r w:rsidRPr="5549FB28">
        <w:rPr>
          <w:rFonts w:eastAsiaTheme="minorEastAsia"/>
        </w:rPr>
        <w:t>7400–d7400. doi:10.1136/</w:t>
      </w:r>
      <w:proofErr w:type="gramStart"/>
      <w:r w:rsidRPr="5549FB28">
        <w:rPr>
          <w:rFonts w:eastAsiaTheme="minorEastAsia"/>
        </w:rPr>
        <w:t>bmj.d</w:t>
      </w:r>
      <w:proofErr w:type="gramEnd"/>
      <w:r w:rsidRPr="5549FB28">
        <w:rPr>
          <w:rFonts w:eastAsiaTheme="minorEastAsia"/>
        </w:rPr>
        <w:t>7400.</w:t>
      </w:r>
    </w:p>
    <w:p w14:paraId="3FEF056E" w14:textId="46B38763" w:rsidR="5549FB28" w:rsidRDefault="5549FB28" w:rsidP="5549FB28">
      <w:pPr>
        <w:spacing w:after="30"/>
        <w:rPr>
          <w:rFonts w:eastAsiaTheme="minorEastAsia"/>
        </w:rPr>
      </w:pPr>
    </w:p>
    <w:p w14:paraId="56C65B1C"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Birthrights (2022). </w:t>
      </w:r>
      <w:r w:rsidRPr="5549FB28">
        <w:rPr>
          <w:rFonts w:eastAsiaTheme="minorEastAsia"/>
          <w:i/>
          <w:iCs/>
        </w:rPr>
        <w:t xml:space="preserve">Systemic racism, not broken bodies </w:t>
      </w:r>
      <w:proofErr w:type="gramStart"/>
      <w:r w:rsidRPr="5549FB28">
        <w:rPr>
          <w:rFonts w:eastAsiaTheme="minorEastAsia"/>
          <w:i/>
          <w:iCs/>
        </w:rPr>
        <w:t>An</w:t>
      </w:r>
      <w:proofErr w:type="gramEnd"/>
      <w:r w:rsidRPr="5549FB28">
        <w:rPr>
          <w:rFonts w:eastAsiaTheme="minorEastAsia"/>
          <w:i/>
          <w:iCs/>
        </w:rPr>
        <w:t xml:space="preserve"> inquiry into racial injustice and human rights in UK maternity care</w:t>
      </w:r>
      <w:r w:rsidRPr="5549FB28">
        <w:rPr>
          <w:rFonts w:eastAsiaTheme="minorEastAsia"/>
        </w:rPr>
        <w:t>. London: Birthrights.</w:t>
      </w:r>
    </w:p>
    <w:p w14:paraId="014AE6F6" w14:textId="3C637D6D" w:rsidR="5549FB28" w:rsidRDefault="5549FB28" w:rsidP="5549FB28">
      <w:pPr>
        <w:spacing w:after="30"/>
        <w:rPr>
          <w:rFonts w:eastAsiaTheme="minorEastAsia"/>
        </w:rPr>
      </w:pPr>
    </w:p>
    <w:p w14:paraId="12A2213C"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Cohen, S.S., Alexander, D.D., Krebs, N.F., Young, B.E., Cabana, M.D., Erdmann, P., Hays, N.P., </w:t>
      </w:r>
      <w:proofErr w:type="spellStart"/>
      <w:r w:rsidRPr="5549FB28">
        <w:rPr>
          <w:rFonts w:eastAsiaTheme="minorEastAsia"/>
        </w:rPr>
        <w:t>Bezold</w:t>
      </w:r>
      <w:proofErr w:type="spellEnd"/>
      <w:r w:rsidRPr="5549FB28">
        <w:rPr>
          <w:rFonts w:eastAsiaTheme="minorEastAsia"/>
        </w:rPr>
        <w:t>, C.P., Levin-</w:t>
      </w:r>
      <w:proofErr w:type="spellStart"/>
      <w:r w:rsidRPr="5549FB28">
        <w:rPr>
          <w:rFonts w:eastAsiaTheme="minorEastAsia"/>
        </w:rPr>
        <w:t>Sparenberg</w:t>
      </w:r>
      <w:proofErr w:type="spellEnd"/>
      <w:r w:rsidRPr="5549FB28">
        <w:rPr>
          <w:rFonts w:eastAsiaTheme="minorEastAsia"/>
        </w:rPr>
        <w:t xml:space="preserve">, E., </w:t>
      </w:r>
      <w:proofErr w:type="spellStart"/>
      <w:r w:rsidRPr="5549FB28">
        <w:rPr>
          <w:rFonts w:eastAsiaTheme="minorEastAsia"/>
        </w:rPr>
        <w:t>Turini</w:t>
      </w:r>
      <w:proofErr w:type="spellEnd"/>
      <w:r w:rsidRPr="5549FB28">
        <w:rPr>
          <w:rFonts w:eastAsiaTheme="minorEastAsia"/>
        </w:rPr>
        <w:t xml:space="preserve">, </w:t>
      </w:r>
      <w:proofErr w:type="gramStart"/>
      <w:r w:rsidRPr="5549FB28">
        <w:rPr>
          <w:rFonts w:eastAsiaTheme="minorEastAsia"/>
        </w:rPr>
        <w:t>M.</w:t>
      </w:r>
      <w:proofErr w:type="gramEnd"/>
      <w:r w:rsidRPr="5549FB28">
        <w:rPr>
          <w:rFonts w:eastAsiaTheme="minorEastAsia"/>
        </w:rPr>
        <w:t xml:space="preserve"> and Saavedra, J.M. (2018). Factors Associated with Breastfeeding Initiation and Continuation: A Meta-Analysis. </w:t>
      </w:r>
      <w:r w:rsidRPr="5549FB28">
        <w:rPr>
          <w:rFonts w:eastAsiaTheme="minorEastAsia"/>
          <w:i/>
          <w:iCs/>
        </w:rPr>
        <w:t xml:space="preserve">The Journal of </w:t>
      </w:r>
      <w:proofErr w:type="spellStart"/>
      <w:r w:rsidRPr="5549FB28">
        <w:rPr>
          <w:rFonts w:eastAsiaTheme="minorEastAsia"/>
          <w:i/>
          <w:iCs/>
        </w:rPr>
        <w:t>Pediatrics</w:t>
      </w:r>
      <w:proofErr w:type="spellEnd"/>
      <w:r w:rsidRPr="5549FB28">
        <w:rPr>
          <w:rFonts w:eastAsiaTheme="minorEastAsia"/>
        </w:rPr>
        <w:t xml:space="preserve">, [online] 203, pp.190-196.e21. </w:t>
      </w:r>
      <w:proofErr w:type="gramStart"/>
      <w:r w:rsidRPr="5549FB28">
        <w:rPr>
          <w:rFonts w:eastAsiaTheme="minorEastAsia"/>
        </w:rPr>
        <w:t>doi:10.1016/j.jpeds</w:t>
      </w:r>
      <w:proofErr w:type="gramEnd"/>
      <w:r w:rsidRPr="5549FB28">
        <w:rPr>
          <w:rFonts w:eastAsiaTheme="minorEastAsia"/>
        </w:rPr>
        <w:t>.2018.08.008.</w:t>
      </w:r>
    </w:p>
    <w:p w14:paraId="5737BE6F" w14:textId="31456EE0" w:rsidR="5549FB28" w:rsidRDefault="5549FB28" w:rsidP="5549FB28">
      <w:pPr>
        <w:spacing w:after="30"/>
        <w:rPr>
          <w:rFonts w:eastAsiaTheme="minorEastAsia"/>
        </w:rPr>
      </w:pPr>
    </w:p>
    <w:p w14:paraId="70E1A906" w14:textId="77777777" w:rsidR="00272613" w:rsidRPr="004F345B" w:rsidRDefault="0D222E42" w:rsidP="5549FB28">
      <w:pPr>
        <w:autoSpaceDE w:val="0"/>
        <w:autoSpaceDN w:val="0"/>
        <w:adjustRightInd w:val="0"/>
        <w:spacing w:after="30"/>
        <w:rPr>
          <w:rFonts w:eastAsiaTheme="minorEastAsia"/>
        </w:rPr>
      </w:pPr>
      <w:proofErr w:type="spellStart"/>
      <w:r w:rsidRPr="5549FB28">
        <w:rPr>
          <w:rFonts w:eastAsiaTheme="minorEastAsia"/>
        </w:rPr>
        <w:t>Coxon</w:t>
      </w:r>
      <w:proofErr w:type="spellEnd"/>
      <w:r w:rsidRPr="5549FB28">
        <w:rPr>
          <w:rFonts w:eastAsiaTheme="minorEastAsia"/>
        </w:rPr>
        <w:t xml:space="preserve">, K., Chisholm, A., Malouf, R., Rowe, R. and Hollowell, J. (2017). What influences </w:t>
      </w:r>
      <w:proofErr w:type="gramStart"/>
      <w:r w:rsidRPr="5549FB28">
        <w:rPr>
          <w:rFonts w:eastAsiaTheme="minorEastAsia"/>
        </w:rPr>
        <w:t>birth place</w:t>
      </w:r>
      <w:proofErr w:type="gramEnd"/>
      <w:r w:rsidRPr="5549FB28">
        <w:rPr>
          <w:rFonts w:eastAsiaTheme="minorEastAsia"/>
        </w:rPr>
        <w:t xml:space="preserve"> preferences, choices and decision-making amongst healthy women with straightforward pregnancies in the UK? A qualitative evidence synthesis using a ‘best fit’ framework approach. </w:t>
      </w:r>
      <w:r w:rsidRPr="5549FB28">
        <w:rPr>
          <w:rFonts w:eastAsiaTheme="minorEastAsia"/>
          <w:i/>
          <w:iCs/>
        </w:rPr>
        <w:t>BMC Pregnancy and Childbirth</w:t>
      </w:r>
      <w:r w:rsidRPr="5549FB28">
        <w:rPr>
          <w:rFonts w:eastAsiaTheme="minorEastAsia"/>
        </w:rPr>
        <w:t>, [online] 17(1). doi:10.1186/s12884-017-1279-7.</w:t>
      </w:r>
    </w:p>
    <w:p w14:paraId="24F3A78C" w14:textId="3E08D5A6" w:rsidR="5549FB28" w:rsidRDefault="5549FB28" w:rsidP="5549FB28">
      <w:pPr>
        <w:spacing w:after="30"/>
        <w:rPr>
          <w:rFonts w:eastAsiaTheme="minorEastAsia"/>
        </w:rPr>
      </w:pPr>
    </w:p>
    <w:p w14:paraId="1C1E4E28" w14:textId="77777777" w:rsidR="00272613" w:rsidRPr="00EE1BCE" w:rsidRDefault="0D222E42" w:rsidP="5549FB28">
      <w:pPr>
        <w:autoSpaceDE w:val="0"/>
        <w:autoSpaceDN w:val="0"/>
        <w:adjustRightInd w:val="0"/>
        <w:spacing w:after="30"/>
        <w:rPr>
          <w:rFonts w:eastAsiaTheme="minorEastAsia"/>
        </w:rPr>
      </w:pPr>
      <w:r w:rsidRPr="5549FB28">
        <w:rPr>
          <w:rFonts w:eastAsiaTheme="minorEastAsia"/>
        </w:rPr>
        <w:t xml:space="preserve">Davis-Floyd, R.E., Barclay, L., Tritten, </w:t>
      </w:r>
      <w:proofErr w:type="gramStart"/>
      <w:r w:rsidRPr="5549FB28">
        <w:rPr>
          <w:rFonts w:eastAsiaTheme="minorEastAsia"/>
        </w:rPr>
        <w:t>J.</w:t>
      </w:r>
      <w:proofErr w:type="gramEnd"/>
      <w:r w:rsidRPr="5549FB28">
        <w:rPr>
          <w:rFonts w:eastAsiaTheme="minorEastAsia"/>
        </w:rPr>
        <w:t xml:space="preserve"> and Betty-Anne Daviss (2009). </w:t>
      </w:r>
      <w:r w:rsidRPr="5549FB28">
        <w:rPr>
          <w:rFonts w:eastAsiaTheme="minorEastAsia"/>
          <w:i/>
          <w:iCs/>
        </w:rPr>
        <w:t>Birth Models That Work</w:t>
      </w:r>
      <w:r w:rsidRPr="5549FB28">
        <w:rPr>
          <w:rFonts w:eastAsiaTheme="minorEastAsia"/>
        </w:rPr>
        <w:t>. University of California Press.</w:t>
      </w:r>
    </w:p>
    <w:p w14:paraId="67733FAA" w14:textId="6DC2FBAA" w:rsidR="5549FB28" w:rsidRDefault="5549FB28" w:rsidP="5549FB28">
      <w:pPr>
        <w:spacing w:after="30"/>
        <w:rPr>
          <w:rFonts w:eastAsiaTheme="minorEastAsia"/>
        </w:rPr>
      </w:pPr>
    </w:p>
    <w:p w14:paraId="569C5D9F" w14:textId="3BD4261A" w:rsidR="329F0B67" w:rsidRDefault="329F0B67" w:rsidP="5549FB28">
      <w:pPr>
        <w:spacing w:after="30"/>
        <w:rPr>
          <w:rFonts w:eastAsiaTheme="minorEastAsia"/>
        </w:rPr>
      </w:pPr>
      <w:r w:rsidRPr="5549FB28">
        <w:rPr>
          <w:rFonts w:eastAsiaTheme="minorEastAsia"/>
        </w:rPr>
        <w:t xml:space="preserve">Fernandez </w:t>
      </w:r>
      <w:proofErr w:type="spellStart"/>
      <w:r w:rsidRPr="5549FB28">
        <w:rPr>
          <w:rFonts w:eastAsiaTheme="minorEastAsia"/>
        </w:rPr>
        <w:t>Turienzo</w:t>
      </w:r>
      <w:proofErr w:type="spellEnd"/>
      <w:r w:rsidRPr="5549FB28">
        <w:rPr>
          <w:rFonts w:eastAsiaTheme="minorEastAsia"/>
        </w:rPr>
        <w:t xml:space="preserve">, C., Newburn, M., </w:t>
      </w:r>
      <w:proofErr w:type="spellStart"/>
      <w:r w:rsidRPr="5549FB28">
        <w:rPr>
          <w:rFonts w:eastAsiaTheme="minorEastAsia"/>
        </w:rPr>
        <w:t>Agyepong</w:t>
      </w:r>
      <w:proofErr w:type="spellEnd"/>
      <w:r w:rsidRPr="5549FB28">
        <w:rPr>
          <w:rFonts w:eastAsiaTheme="minorEastAsia"/>
        </w:rPr>
        <w:t xml:space="preserve">, A., </w:t>
      </w:r>
      <w:proofErr w:type="spellStart"/>
      <w:r w:rsidRPr="5549FB28">
        <w:rPr>
          <w:rFonts w:eastAsiaTheme="minorEastAsia"/>
        </w:rPr>
        <w:t>Buabeng</w:t>
      </w:r>
      <w:proofErr w:type="spellEnd"/>
      <w:r w:rsidRPr="5549FB28">
        <w:rPr>
          <w:rFonts w:eastAsiaTheme="minorEastAsia"/>
        </w:rPr>
        <w:t xml:space="preserve">, R., Dignam, A., Abe, C., Bedward, L., Rayment-Jones, H., Silverio, S.A., Easter, A., Carson, L.E., Howard, L.M. and Sandall, J. (2021). Addressing inequities in maternal health among women living in communities of social disadvantage and ethnic diversity. </w:t>
      </w:r>
      <w:r w:rsidRPr="5549FB28">
        <w:rPr>
          <w:rFonts w:eastAsiaTheme="minorEastAsia"/>
          <w:i/>
          <w:iCs/>
        </w:rPr>
        <w:t>BMC Public Health</w:t>
      </w:r>
      <w:r w:rsidRPr="5549FB28">
        <w:rPr>
          <w:rFonts w:eastAsiaTheme="minorEastAsia"/>
        </w:rPr>
        <w:t>, 21(1). doi:10.1186/s12889-021-10182-4.</w:t>
      </w:r>
    </w:p>
    <w:p w14:paraId="6B787933" w14:textId="646FA6D4" w:rsidR="5549FB28" w:rsidRDefault="5549FB28" w:rsidP="5549FB28">
      <w:pPr>
        <w:spacing w:after="30"/>
        <w:rPr>
          <w:rFonts w:eastAsiaTheme="minorEastAsia"/>
        </w:rPr>
      </w:pPr>
    </w:p>
    <w:p w14:paraId="5F9064C6" w14:textId="77777777" w:rsidR="00272613" w:rsidRPr="004F345B" w:rsidRDefault="0D222E42" w:rsidP="5549FB28">
      <w:pPr>
        <w:autoSpaceDE w:val="0"/>
        <w:autoSpaceDN w:val="0"/>
        <w:adjustRightInd w:val="0"/>
        <w:spacing w:after="30"/>
        <w:rPr>
          <w:rFonts w:eastAsiaTheme="minorEastAsia"/>
        </w:rPr>
      </w:pPr>
      <w:proofErr w:type="spellStart"/>
      <w:r w:rsidRPr="5549FB28">
        <w:rPr>
          <w:rFonts w:eastAsiaTheme="minorEastAsia"/>
        </w:rPr>
        <w:t>Gohir</w:t>
      </w:r>
      <w:proofErr w:type="spellEnd"/>
      <w:r w:rsidRPr="5549FB28">
        <w:rPr>
          <w:rFonts w:eastAsiaTheme="minorEastAsia"/>
        </w:rPr>
        <w:t xml:space="preserve">, S. (2022). </w:t>
      </w:r>
      <w:r w:rsidRPr="5549FB28">
        <w:rPr>
          <w:rFonts w:eastAsiaTheme="minorEastAsia"/>
          <w:i/>
          <w:iCs/>
        </w:rPr>
        <w:t>INVISIBLE Maternity Experiences of Muslim Women from Racialised Minority Communities</w:t>
      </w:r>
      <w:r w:rsidRPr="5549FB28">
        <w:rPr>
          <w:rFonts w:eastAsiaTheme="minorEastAsia"/>
        </w:rPr>
        <w:t>. [online] Muslim Women’s Network UK. Available at: https://www.mwnuk.co.uk/go_files/resources/maternity_report_120722.pdf.</w:t>
      </w:r>
    </w:p>
    <w:p w14:paraId="072F6795" w14:textId="510AFF30" w:rsidR="5549FB28" w:rsidRDefault="5549FB28" w:rsidP="5549FB28">
      <w:pPr>
        <w:spacing w:after="30"/>
        <w:rPr>
          <w:rFonts w:eastAsiaTheme="minorEastAsia"/>
        </w:rPr>
      </w:pPr>
    </w:p>
    <w:p w14:paraId="4176DC04"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Henderson, J., Gao, H. and </w:t>
      </w:r>
      <w:proofErr w:type="spellStart"/>
      <w:r w:rsidRPr="5549FB28">
        <w:rPr>
          <w:rFonts w:eastAsiaTheme="minorEastAsia"/>
        </w:rPr>
        <w:t>Redshaw</w:t>
      </w:r>
      <w:proofErr w:type="spellEnd"/>
      <w:r w:rsidRPr="5549FB28">
        <w:rPr>
          <w:rFonts w:eastAsiaTheme="minorEastAsia"/>
        </w:rPr>
        <w:t xml:space="preserve">, M. (2013). Experiencing maternity care: the care received and perceptions of women from different ethnic groups. </w:t>
      </w:r>
      <w:r w:rsidRPr="5549FB28">
        <w:rPr>
          <w:rFonts w:eastAsiaTheme="minorEastAsia"/>
          <w:i/>
          <w:iCs/>
        </w:rPr>
        <w:t>BMC Pregnancy and Childbirth</w:t>
      </w:r>
      <w:r w:rsidRPr="5549FB28">
        <w:rPr>
          <w:rFonts w:eastAsiaTheme="minorEastAsia"/>
        </w:rPr>
        <w:t>, [online] 13(1). doi:10.1186/1471-2393-13-196.</w:t>
      </w:r>
    </w:p>
    <w:p w14:paraId="3FD48F5E" w14:textId="43DBE226" w:rsidR="5549FB28" w:rsidRDefault="5549FB28" w:rsidP="5549FB28">
      <w:pPr>
        <w:spacing w:after="30"/>
        <w:rPr>
          <w:rFonts w:eastAsiaTheme="minorEastAsia"/>
        </w:rPr>
      </w:pPr>
    </w:p>
    <w:p w14:paraId="07E3685D" w14:textId="77777777" w:rsidR="00272613" w:rsidRPr="004F345B" w:rsidRDefault="0D222E42" w:rsidP="5549FB28">
      <w:pPr>
        <w:autoSpaceDE w:val="0"/>
        <w:autoSpaceDN w:val="0"/>
        <w:adjustRightInd w:val="0"/>
        <w:spacing w:after="30"/>
        <w:rPr>
          <w:rFonts w:eastAsiaTheme="minorEastAsia"/>
        </w:rPr>
      </w:pPr>
      <w:proofErr w:type="spellStart"/>
      <w:r w:rsidRPr="5549FB28">
        <w:rPr>
          <w:rFonts w:eastAsiaTheme="minorEastAsia"/>
        </w:rPr>
        <w:lastRenderedPageBreak/>
        <w:t>Hodnett</w:t>
      </w:r>
      <w:proofErr w:type="spellEnd"/>
      <w:r w:rsidRPr="5549FB28">
        <w:rPr>
          <w:rFonts w:eastAsiaTheme="minorEastAsia"/>
        </w:rPr>
        <w:t xml:space="preserve">, E.D., Downe, S., Walsh, D. and Weston, J. (2010). Alternative versus conventional institutional settings for birth. </w:t>
      </w:r>
      <w:r w:rsidRPr="5549FB28">
        <w:rPr>
          <w:rFonts w:eastAsiaTheme="minorEastAsia"/>
          <w:i/>
          <w:iCs/>
        </w:rPr>
        <w:t>The Cochrane Database of Systematic Reviews</w:t>
      </w:r>
      <w:r w:rsidRPr="5549FB28">
        <w:rPr>
          <w:rFonts w:eastAsiaTheme="minorEastAsia"/>
        </w:rPr>
        <w:t xml:space="preserve">, [online] (9), p.CD000012. </w:t>
      </w:r>
      <w:proofErr w:type="gramStart"/>
      <w:r w:rsidRPr="5549FB28">
        <w:rPr>
          <w:rFonts w:eastAsiaTheme="minorEastAsia"/>
        </w:rPr>
        <w:t>doi:10.1002/14651858.CD000012.pub3</w:t>
      </w:r>
      <w:proofErr w:type="gramEnd"/>
      <w:r w:rsidRPr="5549FB28">
        <w:rPr>
          <w:rFonts w:eastAsiaTheme="minorEastAsia"/>
        </w:rPr>
        <w:t>.</w:t>
      </w:r>
    </w:p>
    <w:p w14:paraId="3CF0A7EE" w14:textId="06CF3E6F" w:rsidR="5549FB28" w:rsidRDefault="5549FB28" w:rsidP="5549FB28">
      <w:pPr>
        <w:spacing w:after="30"/>
        <w:rPr>
          <w:rFonts w:eastAsiaTheme="minorEastAsia"/>
        </w:rPr>
      </w:pPr>
    </w:p>
    <w:p w14:paraId="3A276245"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Hollowell, J., Rowe, R., Townend, J., Knight, M., Li, Y., </w:t>
      </w:r>
      <w:proofErr w:type="spellStart"/>
      <w:r w:rsidRPr="5549FB28">
        <w:rPr>
          <w:rFonts w:eastAsiaTheme="minorEastAsia"/>
        </w:rPr>
        <w:t>Linsell</w:t>
      </w:r>
      <w:proofErr w:type="spellEnd"/>
      <w:r w:rsidRPr="5549FB28">
        <w:rPr>
          <w:rFonts w:eastAsiaTheme="minorEastAsia"/>
        </w:rPr>
        <w:t xml:space="preserve">, L., </w:t>
      </w:r>
      <w:proofErr w:type="spellStart"/>
      <w:r w:rsidRPr="5549FB28">
        <w:rPr>
          <w:rFonts w:eastAsiaTheme="minorEastAsia"/>
        </w:rPr>
        <w:t>Redshaw</w:t>
      </w:r>
      <w:proofErr w:type="spellEnd"/>
      <w:r w:rsidRPr="5549FB28">
        <w:rPr>
          <w:rFonts w:eastAsiaTheme="minorEastAsia"/>
        </w:rPr>
        <w:t xml:space="preserve">, M., Brocklehurst, P., Macfarlane, A., Marlow, N., McCourt, C., Newburn, M., Sandall, J. and Silverton, L. (2015). </w:t>
      </w:r>
      <w:r w:rsidRPr="5549FB28">
        <w:rPr>
          <w:rFonts w:eastAsiaTheme="minorEastAsia"/>
          <w:i/>
          <w:iCs/>
        </w:rPr>
        <w:t>The Birthplace in England national prospective cohort study: further analyses to enhance policy and service delivery decision-making for planned place of birth</w:t>
      </w:r>
      <w:r w:rsidRPr="5549FB28">
        <w:rPr>
          <w:rFonts w:eastAsiaTheme="minorEastAsia"/>
        </w:rPr>
        <w:t xml:space="preserve">. [online] </w:t>
      </w:r>
      <w:r w:rsidRPr="5549FB28">
        <w:rPr>
          <w:rFonts w:eastAsiaTheme="minorEastAsia"/>
          <w:i/>
          <w:iCs/>
        </w:rPr>
        <w:t>PubMed</w:t>
      </w:r>
      <w:r w:rsidRPr="5549FB28">
        <w:rPr>
          <w:rFonts w:eastAsiaTheme="minorEastAsia"/>
        </w:rPr>
        <w:t xml:space="preserve">. Southampton (UK): NIHR Journals Library. Available at: </w:t>
      </w:r>
      <w:hyperlink r:id="rId9">
        <w:r w:rsidRPr="5549FB28">
          <w:rPr>
            <w:rStyle w:val="Hyperlink"/>
            <w:rFonts w:eastAsiaTheme="minorEastAsia"/>
          </w:rPr>
          <w:t>https://pubmed.ncbi.nlm.nih.gov/26334076/</w:t>
        </w:r>
      </w:hyperlink>
      <w:r w:rsidRPr="5549FB28">
        <w:rPr>
          <w:rFonts w:eastAsiaTheme="minorEastAsia"/>
        </w:rPr>
        <w:t>.</w:t>
      </w:r>
    </w:p>
    <w:p w14:paraId="2FCF55E8" w14:textId="7A1FE0E1" w:rsidR="5549FB28" w:rsidRDefault="5549FB28" w:rsidP="5549FB28">
      <w:pPr>
        <w:spacing w:after="30"/>
        <w:rPr>
          <w:rFonts w:eastAsiaTheme="minorEastAsia"/>
        </w:rPr>
      </w:pPr>
    </w:p>
    <w:p w14:paraId="13F1CA89" w14:textId="6E59EF4B"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International Confederation of Midwives (2019). </w:t>
      </w:r>
      <w:r w:rsidRPr="5549FB28">
        <w:rPr>
          <w:rFonts w:eastAsiaTheme="minorEastAsia"/>
          <w:i/>
          <w:iCs/>
        </w:rPr>
        <w:t>ICM Definitions</w:t>
      </w:r>
      <w:r w:rsidRPr="5549FB28">
        <w:rPr>
          <w:rFonts w:eastAsiaTheme="minorEastAsia"/>
        </w:rPr>
        <w:t xml:space="preserve">. [online] Internationalmidwives.org. Available at: </w:t>
      </w:r>
      <w:hyperlink r:id="rId10">
        <w:r w:rsidRPr="5549FB28">
          <w:rPr>
            <w:rStyle w:val="Hyperlink"/>
            <w:rFonts w:eastAsiaTheme="minorEastAsia"/>
          </w:rPr>
          <w:t>https://www.internationalmidwives.org/our-work/policy-and-practice/icm-definitions.html</w:t>
        </w:r>
      </w:hyperlink>
      <w:r w:rsidRPr="5549FB28">
        <w:rPr>
          <w:rFonts w:eastAsiaTheme="minorEastAsia"/>
        </w:rPr>
        <w:t>.</w:t>
      </w:r>
    </w:p>
    <w:p w14:paraId="018F6B80" w14:textId="14BB45A5" w:rsidR="5549FB28" w:rsidRDefault="5549FB28" w:rsidP="5549FB28">
      <w:pPr>
        <w:spacing w:after="30"/>
        <w:rPr>
          <w:rFonts w:eastAsiaTheme="minorEastAsia"/>
        </w:rPr>
      </w:pPr>
    </w:p>
    <w:p w14:paraId="24D83D71" w14:textId="777F1389" w:rsidR="7D480CC9" w:rsidRDefault="7D480CC9" w:rsidP="5549FB28">
      <w:pPr>
        <w:spacing w:after="30"/>
        <w:rPr>
          <w:rFonts w:eastAsiaTheme="minorEastAsia"/>
        </w:rPr>
      </w:pPr>
      <w:r w:rsidRPr="5549FB28">
        <w:rPr>
          <w:rFonts w:eastAsiaTheme="minorEastAsia"/>
        </w:rPr>
        <w:t xml:space="preserve">Khan, Z. (2021). </w:t>
      </w:r>
      <w:r w:rsidRPr="5549FB28">
        <w:rPr>
          <w:rFonts w:eastAsiaTheme="minorEastAsia"/>
          <w:i/>
          <w:iCs/>
        </w:rPr>
        <w:t xml:space="preserve">British Journal </w:t>
      </w:r>
      <w:proofErr w:type="gramStart"/>
      <w:r w:rsidRPr="5549FB28">
        <w:rPr>
          <w:rFonts w:eastAsiaTheme="minorEastAsia"/>
          <w:i/>
          <w:iCs/>
        </w:rPr>
        <w:t>Of</w:t>
      </w:r>
      <w:proofErr w:type="gramEnd"/>
      <w:r w:rsidRPr="5549FB28">
        <w:rPr>
          <w:rFonts w:eastAsiaTheme="minorEastAsia"/>
          <w:i/>
          <w:iCs/>
        </w:rPr>
        <w:t xml:space="preserve"> Midwifery - Ethnic health inequalities in the UK’s maternity services: a systematic literature review</w:t>
      </w:r>
      <w:r w:rsidRPr="5549FB28">
        <w:rPr>
          <w:rFonts w:eastAsiaTheme="minorEastAsia"/>
        </w:rPr>
        <w:t xml:space="preserve">. [online] British Journal </w:t>
      </w:r>
      <w:proofErr w:type="gramStart"/>
      <w:r w:rsidRPr="5549FB28">
        <w:rPr>
          <w:rFonts w:eastAsiaTheme="minorEastAsia"/>
        </w:rPr>
        <w:t>Of</w:t>
      </w:r>
      <w:proofErr w:type="gramEnd"/>
      <w:r w:rsidRPr="5549FB28">
        <w:rPr>
          <w:rFonts w:eastAsiaTheme="minorEastAsia"/>
        </w:rPr>
        <w:t xml:space="preserve"> Midwifery. Available at: </w:t>
      </w:r>
      <w:hyperlink r:id="rId11">
        <w:r w:rsidRPr="5549FB28">
          <w:rPr>
            <w:rStyle w:val="Hyperlink"/>
            <w:rFonts w:eastAsiaTheme="minorEastAsia"/>
          </w:rPr>
          <w:t>https://www.britishjournalofmidwifery.com/content/literature-review/ethnic-health-inequalities-in-the-uk-s-maternity-services-a-systematic-literature-review</w:t>
        </w:r>
      </w:hyperlink>
      <w:r w:rsidRPr="5549FB28">
        <w:rPr>
          <w:rFonts w:eastAsiaTheme="minorEastAsia"/>
        </w:rPr>
        <w:t>.</w:t>
      </w:r>
    </w:p>
    <w:p w14:paraId="2325B763" w14:textId="61064098" w:rsidR="5549FB28" w:rsidRDefault="5549FB28" w:rsidP="5549FB28">
      <w:pPr>
        <w:spacing w:after="30"/>
        <w:rPr>
          <w:rFonts w:eastAsiaTheme="minorEastAsia"/>
        </w:rPr>
      </w:pPr>
    </w:p>
    <w:p w14:paraId="5E71326F" w14:textId="5B9058F3" w:rsidR="3469A38E" w:rsidRDefault="3469A38E" w:rsidP="5549FB28">
      <w:pPr>
        <w:spacing w:after="30"/>
        <w:rPr>
          <w:rFonts w:eastAsiaTheme="minorEastAsia"/>
        </w:rPr>
      </w:pPr>
      <w:r w:rsidRPr="5549FB28">
        <w:rPr>
          <w:rFonts w:eastAsiaTheme="minorEastAsia"/>
        </w:rPr>
        <w:t>Macfarlane, A.J., Rocca-</w:t>
      </w:r>
      <w:proofErr w:type="spellStart"/>
      <w:r w:rsidRPr="5549FB28">
        <w:rPr>
          <w:rFonts w:eastAsiaTheme="minorEastAsia"/>
        </w:rPr>
        <w:t>Ihenacho</w:t>
      </w:r>
      <w:proofErr w:type="spellEnd"/>
      <w:r w:rsidRPr="5549FB28">
        <w:rPr>
          <w:rFonts w:eastAsiaTheme="minorEastAsia"/>
        </w:rPr>
        <w:t>, L., Turner, L.R. and Roth, C. (2014). Survey of women</w:t>
      </w:r>
      <w:r w:rsidRPr="5549FB28">
        <w:rPr>
          <w:rFonts w:eastAsiaTheme="minorEastAsia"/>
          <w:rtl/>
        </w:rPr>
        <w:t>׳</w:t>
      </w:r>
      <w:r w:rsidRPr="5549FB28">
        <w:rPr>
          <w:rFonts w:eastAsiaTheme="minorEastAsia"/>
        </w:rPr>
        <w:t xml:space="preserve">s experiences of care in a new freestanding midwifery unit in an </w:t>
      </w:r>
      <w:proofErr w:type="gramStart"/>
      <w:r w:rsidRPr="5549FB28">
        <w:rPr>
          <w:rFonts w:eastAsiaTheme="minorEastAsia"/>
        </w:rPr>
        <w:t>inner city</w:t>
      </w:r>
      <w:proofErr w:type="gramEnd"/>
      <w:r w:rsidRPr="5549FB28">
        <w:rPr>
          <w:rFonts w:eastAsiaTheme="minorEastAsia"/>
        </w:rPr>
        <w:t xml:space="preserve"> area of London, England – 1: Methods and women</w:t>
      </w:r>
      <w:r w:rsidRPr="5549FB28">
        <w:rPr>
          <w:rFonts w:eastAsiaTheme="minorEastAsia"/>
          <w:rtl/>
        </w:rPr>
        <w:t>׳</w:t>
      </w:r>
      <w:r w:rsidRPr="5549FB28">
        <w:rPr>
          <w:rFonts w:eastAsiaTheme="minorEastAsia"/>
        </w:rPr>
        <w:t xml:space="preserve">s overall ratings of care. </w:t>
      </w:r>
      <w:r w:rsidRPr="5549FB28">
        <w:rPr>
          <w:rFonts w:eastAsiaTheme="minorEastAsia"/>
          <w:i/>
          <w:iCs/>
        </w:rPr>
        <w:t>Midwifery</w:t>
      </w:r>
      <w:r w:rsidRPr="5549FB28">
        <w:rPr>
          <w:rFonts w:eastAsiaTheme="minorEastAsia"/>
        </w:rPr>
        <w:t xml:space="preserve">, 30(9), pp.998–1008. </w:t>
      </w:r>
      <w:proofErr w:type="gramStart"/>
      <w:r w:rsidRPr="5549FB28">
        <w:rPr>
          <w:rFonts w:eastAsiaTheme="minorEastAsia"/>
        </w:rPr>
        <w:t>doi:10.1016/j.midw</w:t>
      </w:r>
      <w:proofErr w:type="gramEnd"/>
      <w:r w:rsidRPr="5549FB28">
        <w:rPr>
          <w:rFonts w:eastAsiaTheme="minorEastAsia"/>
        </w:rPr>
        <w:t>.2014.03.013.</w:t>
      </w:r>
    </w:p>
    <w:p w14:paraId="15115682" w14:textId="36B3B70D" w:rsidR="5549FB28" w:rsidRDefault="5549FB28" w:rsidP="5549FB28">
      <w:pPr>
        <w:spacing w:after="30"/>
        <w:rPr>
          <w:rFonts w:eastAsiaTheme="minorEastAsia"/>
        </w:rPr>
      </w:pPr>
    </w:p>
    <w:p w14:paraId="0553ED20" w14:textId="7C7DAC3D" w:rsidR="7FA27597" w:rsidRDefault="7FA27597" w:rsidP="5549FB28">
      <w:pPr>
        <w:spacing w:after="30"/>
        <w:rPr>
          <w:rFonts w:eastAsiaTheme="minorEastAsia"/>
        </w:rPr>
      </w:pPr>
      <w:r w:rsidRPr="5549FB28">
        <w:rPr>
          <w:rFonts w:eastAsiaTheme="minorEastAsia"/>
        </w:rPr>
        <w:t xml:space="preserve">Maternity Action (2022). </w:t>
      </w:r>
      <w:r w:rsidRPr="5549FB28">
        <w:rPr>
          <w:rFonts w:eastAsiaTheme="minorEastAsia"/>
          <w:i/>
          <w:iCs/>
        </w:rPr>
        <w:t>End NHS maternity charging</w:t>
      </w:r>
      <w:r w:rsidRPr="5549FB28">
        <w:rPr>
          <w:rFonts w:eastAsiaTheme="minorEastAsia"/>
        </w:rPr>
        <w:t xml:space="preserve">. [online] Maternity Action. Available at: </w:t>
      </w:r>
      <w:hyperlink r:id="rId12">
        <w:r w:rsidRPr="5549FB28">
          <w:rPr>
            <w:rStyle w:val="Hyperlink"/>
            <w:rFonts w:eastAsiaTheme="minorEastAsia"/>
          </w:rPr>
          <w:t>https://maternityaction.org.uk/campaigns/nhscharging/</w:t>
        </w:r>
      </w:hyperlink>
      <w:r w:rsidRPr="5549FB28">
        <w:rPr>
          <w:rFonts w:eastAsiaTheme="minorEastAsia"/>
        </w:rPr>
        <w:t xml:space="preserve"> [Accessed 30 Nov. 2022].</w:t>
      </w:r>
    </w:p>
    <w:p w14:paraId="3B55E506" w14:textId="0D4A511E" w:rsidR="5549FB28" w:rsidRDefault="5549FB28" w:rsidP="5549FB28">
      <w:pPr>
        <w:spacing w:after="30"/>
        <w:rPr>
          <w:rFonts w:eastAsiaTheme="minorEastAsia"/>
        </w:rPr>
      </w:pPr>
    </w:p>
    <w:p w14:paraId="3DF3989A"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McCourt, C., Rayment, J., </w:t>
      </w:r>
      <w:proofErr w:type="spellStart"/>
      <w:r w:rsidRPr="5549FB28">
        <w:rPr>
          <w:rFonts w:eastAsiaTheme="minorEastAsia"/>
        </w:rPr>
        <w:t>Rance</w:t>
      </w:r>
      <w:proofErr w:type="spellEnd"/>
      <w:r w:rsidRPr="5549FB28">
        <w:rPr>
          <w:rFonts w:eastAsiaTheme="minorEastAsia"/>
        </w:rPr>
        <w:t xml:space="preserve">, S. and Sandall, J. (2012). Organisational strategies and midwives’ readiness to provide care for out of hospital births: An analysis from the Birthplace organisational case studies. </w:t>
      </w:r>
      <w:r w:rsidRPr="5549FB28">
        <w:rPr>
          <w:rFonts w:eastAsiaTheme="minorEastAsia"/>
          <w:i/>
          <w:iCs/>
        </w:rPr>
        <w:t>Midwifery</w:t>
      </w:r>
      <w:r w:rsidRPr="5549FB28">
        <w:rPr>
          <w:rFonts w:eastAsiaTheme="minorEastAsia"/>
        </w:rPr>
        <w:t xml:space="preserve">, 28(5), pp.636–645. </w:t>
      </w:r>
      <w:proofErr w:type="gramStart"/>
      <w:r w:rsidRPr="5549FB28">
        <w:rPr>
          <w:rFonts w:eastAsiaTheme="minorEastAsia"/>
        </w:rPr>
        <w:t>doi:10.1016/j.midw</w:t>
      </w:r>
      <w:proofErr w:type="gramEnd"/>
      <w:r w:rsidRPr="5549FB28">
        <w:rPr>
          <w:rFonts w:eastAsiaTheme="minorEastAsia"/>
        </w:rPr>
        <w:t>.2012.07.004.</w:t>
      </w:r>
    </w:p>
    <w:p w14:paraId="28EED249" w14:textId="57665B06" w:rsidR="5549FB28" w:rsidRDefault="5549FB28" w:rsidP="5549FB28">
      <w:pPr>
        <w:spacing w:after="30"/>
        <w:rPr>
          <w:rFonts w:eastAsiaTheme="minorEastAsia"/>
        </w:rPr>
      </w:pPr>
    </w:p>
    <w:p w14:paraId="45321394"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NHS England (2021). </w:t>
      </w:r>
      <w:r w:rsidRPr="5549FB28">
        <w:rPr>
          <w:rFonts w:eastAsiaTheme="minorEastAsia"/>
          <w:i/>
          <w:iCs/>
        </w:rPr>
        <w:t>NHS Maternity Statistics, England - 2020-21</w:t>
      </w:r>
      <w:r w:rsidRPr="5549FB28">
        <w:rPr>
          <w:rFonts w:eastAsiaTheme="minorEastAsia"/>
        </w:rPr>
        <w:t>. [online] NHS Digital. Available at: https://digital.nhs.uk/data-and-information/publications/statistical/nhs-maternity-statistics/2020-21#resources [Accessed 6 Nov. 2022].</w:t>
      </w:r>
    </w:p>
    <w:p w14:paraId="701BCCD2" w14:textId="1F2B107C" w:rsidR="5549FB28" w:rsidRDefault="5549FB28" w:rsidP="5549FB28">
      <w:pPr>
        <w:spacing w:after="30"/>
        <w:rPr>
          <w:rFonts w:eastAsiaTheme="minorEastAsia"/>
        </w:rPr>
      </w:pPr>
    </w:p>
    <w:p w14:paraId="2D25E11E"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NHS England Digital Maternity Dashboard (2021). </w:t>
      </w:r>
      <w:r w:rsidRPr="5549FB28">
        <w:rPr>
          <w:rFonts w:eastAsiaTheme="minorEastAsia"/>
          <w:i/>
          <w:iCs/>
        </w:rPr>
        <w:t>Maternity Dashboard</w:t>
      </w:r>
      <w:r w:rsidRPr="5549FB28">
        <w:rPr>
          <w:rFonts w:eastAsiaTheme="minorEastAsia"/>
        </w:rPr>
        <w:t xml:space="preserve">. [online] app.powerbi.com. Available at: </w:t>
      </w:r>
      <w:hyperlink r:id="rId13">
        <w:r w:rsidRPr="5549FB28">
          <w:rPr>
            <w:rStyle w:val="Hyperlink"/>
            <w:rFonts w:eastAsiaTheme="minorEastAsia"/>
          </w:rPr>
          <w:t>https://app.powerbi.com/view?r=eyJrIjoiYzQwNDFlZWEtNjJkNi00NzRiLTkxZjItOTg0MWZiYzliNTk2IiwidCI6IjUwZjYwNzFmLWJiZmUtNDAxYS04ODAzLTY3Mzc0OGU2MjllMiIsImMiOjh9&amp;pageName=ReportSection0aa5a6eee21114a7f60b</w:t>
        </w:r>
      </w:hyperlink>
      <w:r w:rsidRPr="5549FB28">
        <w:rPr>
          <w:rFonts w:eastAsiaTheme="minorEastAsia"/>
        </w:rPr>
        <w:t>.</w:t>
      </w:r>
    </w:p>
    <w:p w14:paraId="74CD335E" w14:textId="41C74529" w:rsidR="5549FB28" w:rsidRDefault="5549FB28" w:rsidP="5549FB28">
      <w:pPr>
        <w:spacing w:after="30"/>
        <w:rPr>
          <w:rFonts w:eastAsiaTheme="minorEastAsia"/>
        </w:rPr>
      </w:pPr>
    </w:p>
    <w:p w14:paraId="213A1943"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NICE (2017). </w:t>
      </w:r>
      <w:r w:rsidRPr="5549FB28">
        <w:rPr>
          <w:rFonts w:eastAsiaTheme="minorEastAsia"/>
          <w:i/>
          <w:iCs/>
        </w:rPr>
        <w:t>Overview | Intrapartum Care | Quality Standards | NICE</w:t>
      </w:r>
      <w:r w:rsidRPr="5549FB28">
        <w:rPr>
          <w:rFonts w:eastAsiaTheme="minorEastAsia"/>
        </w:rPr>
        <w:t xml:space="preserve">. [online] Nice.org.uk. Available at: </w:t>
      </w:r>
      <w:hyperlink r:id="rId14">
        <w:r w:rsidRPr="5549FB28">
          <w:rPr>
            <w:rStyle w:val="Hyperlink"/>
            <w:rFonts w:eastAsiaTheme="minorEastAsia"/>
          </w:rPr>
          <w:t>https://www.nice.org.uk/guidance/qs105</w:t>
        </w:r>
      </w:hyperlink>
      <w:r w:rsidRPr="5549FB28">
        <w:rPr>
          <w:rFonts w:eastAsiaTheme="minorEastAsia"/>
        </w:rPr>
        <w:t>.</w:t>
      </w:r>
    </w:p>
    <w:p w14:paraId="5E29E775" w14:textId="76E022D4" w:rsidR="5549FB28" w:rsidRDefault="5549FB28" w:rsidP="5549FB28">
      <w:pPr>
        <w:spacing w:after="30"/>
        <w:rPr>
          <w:rFonts w:eastAsiaTheme="minorEastAsia"/>
        </w:rPr>
      </w:pPr>
    </w:p>
    <w:p w14:paraId="4CE7DF41" w14:textId="4D0DC59B"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NPEU (2020). </w:t>
      </w:r>
      <w:r w:rsidRPr="5549FB28">
        <w:rPr>
          <w:rFonts w:eastAsiaTheme="minorEastAsia"/>
          <w:i/>
          <w:iCs/>
        </w:rPr>
        <w:t>MBRRACE-UK | NPEU</w:t>
      </w:r>
      <w:r w:rsidRPr="5549FB28">
        <w:rPr>
          <w:rFonts w:eastAsiaTheme="minorEastAsia"/>
        </w:rPr>
        <w:t xml:space="preserve">. [online] Ox.ac.uk. Available at: </w:t>
      </w:r>
      <w:hyperlink r:id="rId15">
        <w:r w:rsidRPr="5549FB28">
          <w:rPr>
            <w:rStyle w:val="Hyperlink"/>
            <w:rFonts w:eastAsiaTheme="minorEastAsia"/>
          </w:rPr>
          <w:t>https://www.npeu.ox.ac.uk/mbrrace-uk</w:t>
        </w:r>
      </w:hyperlink>
      <w:r w:rsidRPr="5549FB28">
        <w:rPr>
          <w:rFonts w:eastAsiaTheme="minorEastAsia"/>
        </w:rPr>
        <w:t>.</w:t>
      </w:r>
    </w:p>
    <w:p w14:paraId="4AC289A5" w14:textId="2003192F" w:rsidR="5549FB28" w:rsidRDefault="5549FB28" w:rsidP="5549FB28">
      <w:pPr>
        <w:spacing w:after="30"/>
        <w:rPr>
          <w:rFonts w:eastAsiaTheme="minorEastAsia"/>
        </w:rPr>
      </w:pPr>
    </w:p>
    <w:p w14:paraId="67FD34EB" w14:textId="5492E62B" w:rsidR="76C8821C" w:rsidRDefault="76C8821C" w:rsidP="5549FB28">
      <w:pPr>
        <w:spacing w:after="30"/>
        <w:rPr>
          <w:rFonts w:eastAsiaTheme="minorEastAsia"/>
        </w:rPr>
      </w:pPr>
      <w:r w:rsidRPr="5549FB28">
        <w:rPr>
          <w:rFonts w:eastAsiaTheme="minorEastAsia"/>
        </w:rPr>
        <w:t xml:space="preserve">Office for National Statistics (2020). </w:t>
      </w:r>
      <w:r w:rsidRPr="5549FB28">
        <w:rPr>
          <w:rFonts w:eastAsiaTheme="minorEastAsia"/>
          <w:i/>
          <w:iCs/>
        </w:rPr>
        <w:t>Socioeconomic status</w:t>
      </w:r>
      <w:r w:rsidRPr="5549FB28">
        <w:rPr>
          <w:rFonts w:eastAsiaTheme="minorEastAsia"/>
        </w:rPr>
        <w:t xml:space="preserve">. [online] Service.gov.uk. Available at: </w:t>
      </w:r>
      <w:hyperlink r:id="rId16" w:anchor="main-facts-and-figures">
        <w:r w:rsidRPr="5549FB28">
          <w:rPr>
            <w:rStyle w:val="Hyperlink"/>
            <w:rFonts w:eastAsiaTheme="minorEastAsia"/>
          </w:rPr>
          <w:t>https://www.ethnicity-facts-figures.service.gov.uk/uk-population-by-ethnicity/demographics/socioeconomic-status/latest#main-facts-and-figures</w:t>
        </w:r>
      </w:hyperlink>
      <w:r w:rsidRPr="5549FB28">
        <w:rPr>
          <w:rFonts w:eastAsiaTheme="minorEastAsia"/>
        </w:rPr>
        <w:t>.</w:t>
      </w:r>
    </w:p>
    <w:p w14:paraId="2B475C90" w14:textId="253B9EA1" w:rsidR="5549FB28" w:rsidRDefault="5549FB28" w:rsidP="5549FB28">
      <w:pPr>
        <w:spacing w:after="30"/>
        <w:rPr>
          <w:rFonts w:eastAsiaTheme="minorEastAsia"/>
        </w:rPr>
      </w:pPr>
    </w:p>
    <w:p w14:paraId="766C9820"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Overgaard, C., </w:t>
      </w:r>
      <w:proofErr w:type="spellStart"/>
      <w:r w:rsidRPr="5549FB28">
        <w:rPr>
          <w:rFonts w:eastAsiaTheme="minorEastAsia"/>
        </w:rPr>
        <w:t>Fenger-Grøn</w:t>
      </w:r>
      <w:proofErr w:type="spellEnd"/>
      <w:r w:rsidRPr="5549FB28">
        <w:rPr>
          <w:rFonts w:eastAsiaTheme="minorEastAsia"/>
        </w:rPr>
        <w:t xml:space="preserve">, M. and Sandall, J. (2012). Freestanding midwifery units versus obstetric units: does the effect of place of birth differ with level of social disadvantage? </w:t>
      </w:r>
      <w:r w:rsidRPr="5549FB28">
        <w:rPr>
          <w:rFonts w:eastAsiaTheme="minorEastAsia"/>
          <w:i/>
          <w:iCs/>
        </w:rPr>
        <w:t>BMC Public Health</w:t>
      </w:r>
      <w:r w:rsidRPr="5549FB28">
        <w:rPr>
          <w:rFonts w:eastAsiaTheme="minorEastAsia"/>
        </w:rPr>
        <w:t>, 12(1). doi:10.1186/1471-2458-12-478.</w:t>
      </w:r>
    </w:p>
    <w:p w14:paraId="5C2C2BDB" w14:textId="08C4ABCE" w:rsidR="5549FB28" w:rsidRDefault="5549FB28" w:rsidP="5549FB28">
      <w:pPr>
        <w:pStyle w:val="NormalWeb"/>
        <w:spacing w:before="0" w:beforeAutospacing="0" w:after="30" w:afterAutospacing="0"/>
        <w:rPr>
          <w:rFonts w:asciiTheme="minorHAnsi" w:eastAsiaTheme="minorEastAsia" w:hAnsiTheme="minorHAnsi" w:cstheme="minorBidi"/>
        </w:rPr>
      </w:pPr>
    </w:p>
    <w:p w14:paraId="167B62CE" w14:textId="725C5513" w:rsidR="645D4675" w:rsidRDefault="645D4675" w:rsidP="5549FB28">
      <w:pPr>
        <w:pStyle w:val="NormalWeb"/>
        <w:spacing w:before="0" w:beforeAutospacing="0" w:after="30" w:afterAutospacing="0"/>
        <w:rPr>
          <w:rFonts w:asciiTheme="minorHAnsi" w:eastAsiaTheme="minorEastAsia" w:hAnsiTheme="minorHAnsi" w:cstheme="minorBidi"/>
        </w:rPr>
      </w:pPr>
      <w:r w:rsidRPr="5549FB28">
        <w:rPr>
          <w:rFonts w:asciiTheme="minorHAnsi" w:eastAsiaTheme="minorEastAsia" w:hAnsiTheme="minorHAnsi" w:cstheme="minorBidi"/>
        </w:rPr>
        <w:t xml:space="preserve">Peter, M. and Wheeler, R. (2022). </w:t>
      </w:r>
      <w:r w:rsidRPr="5549FB28">
        <w:rPr>
          <w:rFonts w:asciiTheme="minorHAnsi" w:eastAsiaTheme="minorEastAsia" w:hAnsiTheme="minorHAnsi" w:cstheme="minorBidi"/>
          <w:i/>
          <w:iCs/>
        </w:rPr>
        <w:t>The Black Maternity Experiences Survey, A nationwide study of black Women’s experiences of maternity services in the United Kingdom</w:t>
      </w:r>
      <w:r w:rsidRPr="5549FB28">
        <w:rPr>
          <w:rFonts w:asciiTheme="minorHAnsi" w:eastAsiaTheme="minorEastAsia" w:hAnsiTheme="minorHAnsi" w:cstheme="minorBidi"/>
        </w:rPr>
        <w:t xml:space="preserve">. [online] </w:t>
      </w:r>
      <w:r w:rsidRPr="5549FB28">
        <w:rPr>
          <w:rFonts w:asciiTheme="minorHAnsi" w:eastAsiaTheme="minorEastAsia" w:hAnsiTheme="minorHAnsi" w:cstheme="minorBidi"/>
          <w:i/>
          <w:iCs/>
        </w:rPr>
        <w:t>Five X More</w:t>
      </w:r>
      <w:r w:rsidRPr="5549FB28">
        <w:rPr>
          <w:rFonts w:asciiTheme="minorHAnsi" w:eastAsiaTheme="minorEastAsia" w:hAnsiTheme="minorHAnsi" w:cstheme="minorBidi"/>
        </w:rPr>
        <w:t xml:space="preserve">. Available at: </w:t>
      </w:r>
      <w:hyperlink r:id="rId17">
        <w:r w:rsidRPr="5549FB28">
          <w:rPr>
            <w:rStyle w:val="Hyperlink"/>
            <w:rFonts w:asciiTheme="minorHAnsi" w:eastAsiaTheme="minorEastAsia" w:hAnsiTheme="minorHAnsi" w:cstheme="minorBidi"/>
          </w:rPr>
          <w:t>https://www.fivexmore.com/blackmereport</w:t>
        </w:r>
      </w:hyperlink>
      <w:r w:rsidRPr="5549FB28">
        <w:rPr>
          <w:rFonts w:asciiTheme="minorHAnsi" w:eastAsiaTheme="minorEastAsia" w:hAnsiTheme="minorHAnsi" w:cstheme="minorBidi"/>
        </w:rPr>
        <w:t>.</w:t>
      </w:r>
    </w:p>
    <w:p w14:paraId="2EA321AE" w14:textId="47F2C8A6" w:rsidR="5549FB28" w:rsidRDefault="5549FB28" w:rsidP="5549FB28">
      <w:pPr>
        <w:spacing w:after="30"/>
        <w:rPr>
          <w:rFonts w:eastAsiaTheme="minorEastAsia"/>
        </w:rPr>
      </w:pPr>
    </w:p>
    <w:p w14:paraId="3F1509D2" w14:textId="77777777" w:rsidR="00272613" w:rsidRPr="004F345B" w:rsidRDefault="0D222E42" w:rsidP="5549FB28">
      <w:pPr>
        <w:autoSpaceDE w:val="0"/>
        <w:autoSpaceDN w:val="0"/>
        <w:adjustRightInd w:val="0"/>
        <w:spacing w:after="30"/>
        <w:rPr>
          <w:rFonts w:eastAsiaTheme="minorEastAsia"/>
        </w:rPr>
      </w:pPr>
      <w:r w:rsidRPr="42DFCA58">
        <w:rPr>
          <w:rFonts w:eastAsiaTheme="minorEastAsia"/>
        </w:rPr>
        <w:t xml:space="preserve">Public Health England (2020). </w:t>
      </w:r>
      <w:r w:rsidRPr="42DFCA58">
        <w:rPr>
          <w:rFonts w:eastAsiaTheme="minorEastAsia"/>
          <w:i/>
          <w:iCs/>
        </w:rPr>
        <w:t xml:space="preserve">Maternity high impact area: Reducing the inequality of outcomes for women from Black, </w:t>
      </w:r>
      <w:proofErr w:type="gramStart"/>
      <w:r w:rsidRPr="42DFCA58">
        <w:rPr>
          <w:rFonts w:eastAsiaTheme="minorEastAsia"/>
          <w:i/>
          <w:iCs/>
        </w:rPr>
        <w:t>Asian</w:t>
      </w:r>
      <w:proofErr w:type="gramEnd"/>
      <w:r w:rsidRPr="42DFCA58">
        <w:rPr>
          <w:rFonts w:eastAsiaTheme="minorEastAsia"/>
          <w:i/>
          <w:iCs/>
        </w:rPr>
        <w:t xml:space="preserve"> and Minority Ethnic (BAME) communities and their babies</w:t>
      </w:r>
      <w:r w:rsidRPr="42DFCA58">
        <w:rPr>
          <w:rFonts w:eastAsiaTheme="minorEastAsia"/>
        </w:rPr>
        <w:t>. [online] Available at: https://assets.publishing.service.gov.uk/government/uploads/system/uploads/attachment_data/file/942480/Maternity_high_impact_area_6_Reducing_the_inequality_of_outcomes_for_women_from_Black__Asian_and_Minority_Ethnic__BAME__communities_and_their_babies.pdf.</w:t>
      </w:r>
    </w:p>
    <w:p w14:paraId="01944F0A" w14:textId="2DCE8A1E" w:rsidR="5549FB28" w:rsidRDefault="5549FB28" w:rsidP="5549FB28">
      <w:pPr>
        <w:spacing w:after="30"/>
        <w:rPr>
          <w:rFonts w:eastAsiaTheme="minorEastAsia"/>
        </w:rPr>
      </w:pPr>
    </w:p>
    <w:p w14:paraId="27A3CEEE" w14:textId="426C029E" w:rsidR="620F3E7C" w:rsidRDefault="620F3E7C" w:rsidP="42DFCA58">
      <w:pPr>
        <w:rPr>
          <w:rFonts w:eastAsiaTheme="minorEastAsia"/>
        </w:rPr>
      </w:pPr>
      <w:r w:rsidRPr="42DFCA58">
        <w:rPr>
          <w:rFonts w:eastAsiaTheme="minorEastAsia"/>
        </w:rPr>
        <w:t>Rocca-</w:t>
      </w:r>
      <w:proofErr w:type="spellStart"/>
      <w:r w:rsidRPr="42DFCA58">
        <w:rPr>
          <w:rFonts w:eastAsiaTheme="minorEastAsia"/>
        </w:rPr>
        <w:t>Ihenacho</w:t>
      </w:r>
      <w:proofErr w:type="spellEnd"/>
      <w:r w:rsidRPr="42DFCA58">
        <w:rPr>
          <w:rFonts w:eastAsiaTheme="minorEastAsia"/>
        </w:rPr>
        <w:t xml:space="preserve">, L., </w:t>
      </w:r>
      <w:proofErr w:type="spellStart"/>
      <w:r w:rsidRPr="42DFCA58">
        <w:rPr>
          <w:rFonts w:eastAsiaTheme="minorEastAsia"/>
        </w:rPr>
        <w:t>Batinelli</w:t>
      </w:r>
      <w:proofErr w:type="spellEnd"/>
      <w:r w:rsidRPr="42DFCA58">
        <w:rPr>
          <w:rFonts w:eastAsiaTheme="minorEastAsia"/>
        </w:rPr>
        <w:t xml:space="preserve">, L., </w:t>
      </w:r>
      <w:proofErr w:type="spellStart"/>
      <w:r w:rsidRPr="42DFCA58">
        <w:rPr>
          <w:rFonts w:eastAsiaTheme="minorEastAsia"/>
        </w:rPr>
        <w:t>Thaels</w:t>
      </w:r>
      <w:proofErr w:type="spellEnd"/>
      <w:r w:rsidRPr="42DFCA58">
        <w:rPr>
          <w:rFonts w:eastAsiaTheme="minorEastAsia"/>
        </w:rPr>
        <w:t xml:space="preserve">, E., Rayment, J. and McCourt, C. (2018). </w:t>
      </w:r>
      <w:r w:rsidRPr="42DFCA58">
        <w:rPr>
          <w:rFonts w:eastAsiaTheme="minorEastAsia"/>
          <w:i/>
          <w:iCs/>
        </w:rPr>
        <w:t>Midwifery Unit Standards</w:t>
      </w:r>
      <w:r w:rsidRPr="42DFCA58">
        <w:rPr>
          <w:rFonts w:eastAsiaTheme="minorEastAsia"/>
        </w:rPr>
        <w:t xml:space="preserve">. </w:t>
      </w:r>
      <w:r w:rsidR="06C06AEC" w:rsidRPr="42DFCA58">
        <w:rPr>
          <w:rFonts w:eastAsiaTheme="minorEastAsia"/>
        </w:rPr>
        <w:t xml:space="preserve">London: </w:t>
      </w:r>
      <w:r w:rsidRPr="42DFCA58">
        <w:rPr>
          <w:rFonts w:eastAsiaTheme="minorEastAsia"/>
        </w:rPr>
        <w:t>The Midwifery Unit Network.</w:t>
      </w:r>
      <w:r w:rsidR="096288E3" w:rsidRPr="42DFCA58">
        <w:rPr>
          <w:rFonts w:eastAsiaTheme="minorEastAsia"/>
        </w:rPr>
        <w:t xml:space="preserve"> Available at: </w:t>
      </w:r>
      <w:hyperlink r:id="rId18">
        <w:r w:rsidR="096288E3" w:rsidRPr="42DFCA58">
          <w:rPr>
            <w:rStyle w:val="Hyperlink"/>
            <w:rFonts w:eastAsiaTheme="minorEastAsia"/>
          </w:rPr>
          <w:t>https://www.midwiferyunitnetwork.org/wp-content/uploads/PDFs/LY1309BRO-MUNEt-Standards-PRINT-opt.pdf</w:t>
        </w:r>
      </w:hyperlink>
      <w:r w:rsidR="096288E3" w:rsidRPr="42DFCA58">
        <w:rPr>
          <w:rFonts w:eastAsiaTheme="minorEastAsia"/>
        </w:rPr>
        <w:t xml:space="preserve">. Accessed 30 November 2022. </w:t>
      </w:r>
    </w:p>
    <w:p w14:paraId="5FAC4988" w14:textId="770B8E12" w:rsidR="42DFCA58" w:rsidRDefault="42DFCA58" w:rsidP="42DFCA58">
      <w:pPr>
        <w:spacing w:after="30"/>
        <w:rPr>
          <w:rFonts w:eastAsiaTheme="minorEastAsia"/>
        </w:rPr>
      </w:pPr>
    </w:p>
    <w:p w14:paraId="2526A36B"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Rogers, H.J., Hogan, L., Coates, D., Homer, C.S.E. and Henry, A. (2020). Responding to the health needs of women from migrant and refugee backgrounds—Models of maternity and postpartum care in high‐income countries: A systematic scoping review. </w:t>
      </w:r>
      <w:r w:rsidRPr="5549FB28">
        <w:rPr>
          <w:rFonts w:eastAsiaTheme="minorEastAsia"/>
          <w:i/>
          <w:iCs/>
        </w:rPr>
        <w:t>Health &amp; Social Care in the Community</w:t>
      </w:r>
      <w:r w:rsidRPr="5549FB28">
        <w:rPr>
          <w:rFonts w:eastAsiaTheme="minorEastAsia"/>
        </w:rPr>
        <w:t>. doi:10.1111/hsc.12950.</w:t>
      </w:r>
    </w:p>
    <w:p w14:paraId="29BBB038" w14:textId="41A5A579" w:rsidR="5549FB28" w:rsidRDefault="5549FB28" w:rsidP="5549FB28">
      <w:pPr>
        <w:spacing w:after="30"/>
        <w:rPr>
          <w:rFonts w:eastAsiaTheme="minorEastAsia"/>
        </w:rPr>
      </w:pPr>
    </w:p>
    <w:p w14:paraId="56580973" w14:textId="77777777" w:rsidR="00272613" w:rsidRPr="004F345B" w:rsidRDefault="0D222E42" w:rsidP="5549FB28">
      <w:pPr>
        <w:autoSpaceDE w:val="0"/>
        <w:autoSpaceDN w:val="0"/>
        <w:adjustRightInd w:val="0"/>
        <w:spacing w:after="30"/>
        <w:rPr>
          <w:rFonts w:eastAsiaTheme="minorEastAsia"/>
        </w:rPr>
      </w:pPr>
      <w:r w:rsidRPr="42DFCA58">
        <w:rPr>
          <w:rFonts w:eastAsiaTheme="minorEastAsia"/>
        </w:rPr>
        <w:t xml:space="preserve">Sandall, J., Murrells, T., Dodwell, M., Gibson, R., Bewley, S., </w:t>
      </w:r>
      <w:proofErr w:type="spellStart"/>
      <w:r w:rsidRPr="42DFCA58">
        <w:rPr>
          <w:rFonts w:eastAsiaTheme="minorEastAsia"/>
        </w:rPr>
        <w:t>Coxon</w:t>
      </w:r>
      <w:proofErr w:type="spellEnd"/>
      <w:r w:rsidRPr="42DFCA58">
        <w:rPr>
          <w:rFonts w:eastAsiaTheme="minorEastAsia"/>
        </w:rPr>
        <w:t xml:space="preserve">, K., Bick, D., Cookson, G., Warwick, C. and Hamilton-Fairley, D. (2014). The efficient use of the maternity workforce and the implications for safety and quality in maternity care: a population-based, cross-sectional study. </w:t>
      </w:r>
      <w:r w:rsidRPr="42DFCA58">
        <w:rPr>
          <w:rFonts w:eastAsiaTheme="minorEastAsia"/>
          <w:i/>
          <w:iCs/>
        </w:rPr>
        <w:t>Health Services and Delivery Research</w:t>
      </w:r>
      <w:r w:rsidRPr="42DFCA58">
        <w:rPr>
          <w:rFonts w:eastAsiaTheme="minorEastAsia"/>
        </w:rPr>
        <w:t>, 2(38), pp.1–266. doi:10.3310/hsdr02380.</w:t>
      </w:r>
    </w:p>
    <w:p w14:paraId="6F9FD405" w14:textId="6EBCA9CF" w:rsidR="5549FB28" w:rsidRDefault="5549FB28" w:rsidP="5549FB28">
      <w:pPr>
        <w:spacing w:after="30"/>
        <w:rPr>
          <w:rFonts w:eastAsiaTheme="minorEastAsia"/>
        </w:rPr>
      </w:pPr>
    </w:p>
    <w:p w14:paraId="0A6F68DB"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Scarf, V.L., Rossiter, C., </w:t>
      </w:r>
      <w:proofErr w:type="spellStart"/>
      <w:r w:rsidRPr="5549FB28">
        <w:rPr>
          <w:rFonts w:eastAsiaTheme="minorEastAsia"/>
        </w:rPr>
        <w:t>Vedam</w:t>
      </w:r>
      <w:proofErr w:type="spellEnd"/>
      <w:r w:rsidRPr="5549FB28">
        <w:rPr>
          <w:rFonts w:eastAsiaTheme="minorEastAsia"/>
        </w:rPr>
        <w:t xml:space="preserve">, S., Dahlen, H.G., Ellwood, D., Forster, D., </w:t>
      </w:r>
      <w:proofErr w:type="spellStart"/>
      <w:r w:rsidRPr="5549FB28">
        <w:rPr>
          <w:rFonts w:eastAsiaTheme="minorEastAsia"/>
        </w:rPr>
        <w:t>Foureur</w:t>
      </w:r>
      <w:proofErr w:type="spellEnd"/>
      <w:r w:rsidRPr="5549FB28">
        <w:rPr>
          <w:rFonts w:eastAsiaTheme="minorEastAsia"/>
        </w:rPr>
        <w:t xml:space="preserve">, M.J., McLachlan, H., Oats, J., </w:t>
      </w:r>
      <w:proofErr w:type="spellStart"/>
      <w:r w:rsidRPr="5549FB28">
        <w:rPr>
          <w:rFonts w:eastAsiaTheme="minorEastAsia"/>
        </w:rPr>
        <w:t>Sibbritt</w:t>
      </w:r>
      <w:proofErr w:type="spellEnd"/>
      <w:r w:rsidRPr="5549FB28">
        <w:rPr>
          <w:rFonts w:eastAsiaTheme="minorEastAsia"/>
        </w:rPr>
        <w:t xml:space="preserve">, D., Thornton, </w:t>
      </w:r>
      <w:proofErr w:type="gramStart"/>
      <w:r w:rsidRPr="5549FB28">
        <w:rPr>
          <w:rFonts w:eastAsiaTheme="minorEastAsia"/>
        </w:rPr>
        <w:t>C.</w:t>
      </w:r>
      <w:proofErr w:type="gramEnd"/>
      <w:r w:rsidRPr="5549FB28">
        <w:rPr>
          <w:rFonts w:eastAsiaTheme="minorEastAsia"/>
        </w:rPr>
        <w:t xml:space="preserve"> and Homer, C.S.E. (2018). Maternal and perinatal outcomes by planned place of birth among women with low-risk pregnancies in high-income countries: A systematic review and meta-analysis. </w:t>
      </w:r>
      <w:r w:rsidRPr="5549FB28">
        <w:rPr>
          <w:rFonts w:eastAsiaTheme="minorEastAsia"/>
          <w:i/>
          <w:iCs/>
        </w:rPr>
        <w:t>Midwifery</w:t>
      </w:r>
      <w:r w:rsidRPr="5549FB28">
        <w:rPr>
          <w:rFonts w:eastAsiaTheme="minorEastAsia"/>
        </w:rPr>
        <w:t xml:space="preserve">, 62, pp.240–255. </w:t>
      </w:r>
      <w:proofErr w:type="gramStart"/>
      <w:r w:rsidRPr="5549FB28">
        <w:rPr>
          <w:rFonts w:eastAsiaTheme="minorEastAsia"/>
        </w:rPr>
        <w:t>doi:10.1016/j.midw</w:t>
      </w:r>
      <w:proofErr w:type="gramEnd"/>
      <w:r w:rsidRPr="5549FB28">
        <w:rPr>
          <w:rFonts w:eastAsiaTheme="minorEastAsia"/>
        </w:rPr>
        <w:t>.2018.03.024.</w:t>
      </w:r>
    </w:p>
    <w:p w14:paraId="77E9DA1F" w14:textId="31396374" w:rsidR="5549FB28" w:rsidRDefault="5549FB28" w:rsidP="5549FB28">
      <w:pPr>
        <w:spacing w:after="30"/>
        <w:rPr>
          <w:rFonts w:eastAsiaTheme="minorEastAsia"/>
        </w:rPr>
      </w:pPr>
    </w:p>
    <w:p w14:paraId="6F16587F" w14:textId="7660861A"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Sister Song (2021). </w:t>
      </w:r>
      <w:r w:rsidRPr="5549FB28">
        <w:rPr>
          <w:rFonts w:eastAsiaTheme="minorEastAsia"/>
          <w:i/>
          <w:iCs/>
        </w:rPr>
        <w:t>Reproductive Justice</w:t>
      </w:r>
      <w:r w:rsidRPr="5549FB28">
        <w:rPr>
          <w:rFonts w:eastAsiaTheme="minorEastAsia"/>
        </w:rPr>
        <w:t xml:space="preserve">. [online] Sister Song. Available at: </w:t>
      </w:r>
      <w:hyperlink r:id="rId19">
        <w:r w:rsidRPr="5549FB28">
          <w:rPr>
            <w:rStyle w:val="Hyperlink"/>
            <w:rFonts w:eastAsiaTheme="minorEastAsia"/>
          </w:rPr>
          <w:t>https://www.sistersong.net/reproductive-justice</w:t>
        </w:r>
      </w:hyperlink>
      <w:r w:rsidRPr="5549FB28">
        <w:rPr>
          <w:rFonts w:eastAsiaTheme="minorEastAsia"/>
        </w:rPr>
        <w:t>.</w:t>
      </w:r>
    </w:p>
    <w:p w14:paraId="1B42E460" w14:textId="5187DF47" w:rsidR="5B75ECA9" w:rsidRDefault="5B75ECA9" w:rsidP="5549FB28">
      <w:pPr>
        <w:spacing w:after="30"/>
        <w:rPr>
          <w:rFonts w:eastAsiaTheme="minorEastAsia"/>
        </w:rPr>
      </w:pPr>
      <w:r w:rsidRPr="5549FB28">
        <w:rPr>
          <w:rFonts w:eastAsiaTheme="minorEastAsia"/>
        </w:rPr>
        <w:t xml:space="preserve">Taylor, J.K. (2020). Structural Racism and Maternal Health Among Black Women. </w:t>
      </w:r>
      <w:r w:rsidRPr="5549FB28">
        <w:rPr>
          <w:rFonts w:eastAsiaTheme="minorEastAsia"/>
          <w:i/>
          <w:iCs/>
        </w:rPr>
        <w:t>The Journal of Law, Medicine &amp; Ethics</w:t>
      </w:r>
      <w:r w:rsidRPr="5549FB28">
        <w:rPr>
          <w:rFonts w:eastAsiaTheme="minorEastAsia"/>
        </w:rPr>
        <w:t>, [online] 48(3), pp.506–517. doi:10.1177/1073110520958875.</w:t>
      </w:r>
    </w:p>
    <w:p w14:paraId="73D976DC" w14:textId="31ADD390" w:rsidR="5549FB28" w:rsidRDefault="5549FB28" w:rsidP="5549FB28">
      <w:pPr>
        <w:spacing w:after="30"/>
        <w:rPr>
          <w:rFonts w:eastAsiaTheme="minorEastAsia"/>
        </w:rPr>
      </w:pPr>
    </w:p>
    <w:p w14:paraId="474DF028"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University Hospitals Birmingham (2021). </w:t>
      </w:r>
      <w:r w:rsidRPr="5549FB28">
        <w:rPr>
          <w:rFonts w:eastAsiaTheme="minorEastAsia"/>
          <w:i/>
          <w:iCs/>
        </w:rPr>
        <w:t>University Hospitals Birmingham NHS Foundation Trust | FOI 0751 Maternity Statistics 2020/21</w:t>
      </w:r>
      <w:r w:rsidRPr="5549FB28">
        <w:rPr>
          <w:rFonts w:eastAsiaTheme="minorEastAsia"/>
        </w:rPr>
        <w:t>. [online] hgs.uhb.nhs.uk. Available at: https://hgs.uhb.nhs.uk/foi-0751-maternity-statistics-2020-21 [Accessed 6 Nov. 2022].</w:t>
      </w:r>
    </w:p>
    <w:p w14:paraId="5EFF7708" w14:textId="42633C13" w:rsidR="5549FB28" w:rsidRDefault="5549FB28" w:rsidP="5549FB28">
      <w:pPr>
        <w:spacing w:after="30"/>
        <w:rPr>
          <w:rFonts w:eastAsiaTheme="minorEastAsia"/>
        </w:rPr>
      </w:pPr>
    </w:p>
    <w:p w14:paraId="1402F74A" w14:textId="77777777" w:rsidR="00272613" w:rsidRPr="004F345B" w:rsidRDefault="0D222E42" w:rsidP="5549FB28">
      <w:pPr>
        <w:autoSpaceDE w:val="0"/>
        <w:autoSpaceDN w:val="0"/>
        <w:adjustRightInd w:val="0"/>
        <w:spacing w:after="30"/>
        <w:rPr>
          <w:rFonts w:eastAsiaTheme="minorEastAsia"/>
        </w:rPr>
      </w:pPr>
      <w:r w:rsidRPr="5549FB28">
        <w:rPr>
          <w:rFonts w:eastAsiaTheme="minorEastAsia"/>
        </w:rPr>
        <w:t xml:space="preserve">Walsh, D., </w:t>
      </w:r>
      <w:proofErr w:type="spellStart"/>
      <w:r w:rsidRPr="5549FB28">
        <w:rPr>
          <w:rFonts w:eastAsiaTheme="minorEastAsia"/>
        </w:rPr>
        <w:t>Spiby</w:t>
      </w:r>
      <w:proofErr w:type="spellEnd"/>
      <w:r w:rsidRPr="5549FB28">
        <w:rPr>
          <w:rFonts w:eastAsiaTheme="minorEastAsia"/>
        </w:rPr>
        <w:t xml:space="preserve">, H., McCourt, C., Grigg, C., </w:t>
      </w:r>
      <w:proofErr w:type="spellStart"/>
      <w:r w:rsidRPr="5549FB28">
        <w:rPr>
          <w:rFonts w:eastAsiaTheme="minorEastAsia"/>
        </w:rPr>
        <w:t>Coleby</w:t>
      </w:r>
      <w:proofErr w:type="spellEnd"/>
      <w:r w:rsidRPr="5549FB28">
        <w:rPr>
          <w:rFonts w:eastAsiaTheme="minorEastAsia"/>
        </w:rPr>
        <w:t xml:space="preserve">, D., Bishop, S., Scanlon, M., Culley, L., Wilkinson, J., </w:t>
      </w:r>
      <w:proofErr w:type="spellStart"/>
      <w:r w:rsidRPr="5549FB28">
        <w:rPr>
          <w:rFonts w:eastAsiaTheme="minorEastAsia"/>
        </w:rPr>
        <w:t>Pacanowski</w:t>
      </w:r>
      <w:proofErr w:type="spellEnd"/>
      <w:r w:rsidRPr="5549FB28">
        <w:rPr>
          <w:rFonts w:eastAsiaTheme="minorEastAsia"/>
        </w:rPr>
        <w:t xml:space="preserve">, L. and Thornton, J. (2020). Factors influencing the utilisation of free-standing and alongside midwifery units in England: a qualitative research study. </w:t>
      </w:r>
      <w:r w:rsidRPr="5549FB28">
        <w:rPr>
          <w:rFonts w:eastAsiaTheme="minorEastAsia"/>
          <w:i/>
          <w:iCs/>
        </w:rPr>
        <w:t>BMJ Open</w:t>
      </w:r>
      <w:r w:rsidRPr="5549FB28">
        <w:rPr>
          <w:rFonts w:eastAsiaTheme="minorEastAsia"/>
        </w:rPr>
        <w:t>, 10(2), p.e033895. doi:10.1136/bmjopen-2019-033895.</w:t>
      </w:r>
    </w:p>
    <w:p w14:paraId="65074E4B" w14:textId="36AC5812" w:rsidR="00272613" w:rsidRPr="004F345B" w:rsidRDefault="00272613" w:rsidP="5549FB28">
      <w:pPr>
        <w:shd w:val="clear" w:color="auto" w:fill="FFFFFF" w:themeFill="background1"/>
        <w:spacing w:after="150" w:line="276" w:lineRule="auto"/>
        <w:rPr>
          <w:rFonts w:eastAsia="Times New Roman"/>
          <w:color w:val="666666"/>
          <w:lang w:eastAsia="en-GB"/>
        </w:rPr>
      </w:pPr>
    </w:p>
    <w:sectPr w:rsidR="00272613" w:rsidRPr="004F345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rn, Anna" w:date="2022-12-01T14:23:00Z" w:initials="HA">
    <w:p w14:paraId="1E1811F5" w14:textId="33EBBC7C" w:rsidR="5056AED4" w:rsidRDefault="5056AED4">
      <w:pPr>
        <w:pStyle w:val="CommentText"/>
      </w:pPr>
      <w:r>
        <w:t>Perhaps a clause about why or how? Is it the underpinning biopsychosocial philosophy?</w:t>
      </w:r>
      <w:r>
        <w:rPr>
          <w:rStyle w:val="CommentReference"/>
        </w:rPr>
        <w:annotationRef/>
      </w:r>
    </w:p>
  </w:comment>
  <w:comment w:id="1" w:author="PG-Melamed, Anna" w:date="2022-12-01T17:05:00Z" w:initials="PA">
    <w:p w14:paraId="610DBBCD" w14:textId="17FC494F" w:rsidR="5056AED4" w:rsidRDefault="5056AED4">
      <w:pPr>
        <w:pStyle w:val="CommentText"/>
      </w:pPr>
      <w:r>
        <w:t xml:space="preserve">Yes. As it is just the protocol it should not be too long, but I'll add a few words. It will all be expanded on in the actual study of course. </w:t>
      </w:r>
      <w:r>
        <w:rPr>
          <w:rStyle w:val="CommentReference"/>
        </w:rPr>
        <w:annotationRef/>
      </w:r>
    </w:p>
    <w:p w14:paraId="519739B4" w14:textId="22582FC9" w:rsidR="5056AED4" w:rsidRDefault="5056AED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1811F5" w15:done="1"/>
  <w15:commentEx w15:paraId="519739B4" w15:paraIdParent="1E1811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7E775BE" w16cex:dateUtc="2022-12-01T14:23:00Z"/>
  <w16cex:commentExtensible w16cex:durableId="6AA57349" w16cex:dateUtc="2022-12-01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1811F5" w16cid:durableId="67E775BE"/>
  <w16cid:commentId w16cid:paraId="519739B4" w16cid:durableId="6AA573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0BF"/>
    <w:multiLevelType w:val="multilevel"/>
    <w:tmpl w:val="0F86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51547"/>
    <w:multiLevelType w:val="hybridMultilevel"/>
    <w:tmpl w:val="EE584D56"/>
    <w:lvl w:ilvl="0" w:tplc="9ABEDB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36D22"/>
    <w:multiLevelType w:val="hybridMultilevel"/>
    <w:tmpl w:val="205C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1629F"/>
    <w:multiLevelType w:val="multilevel"/>
    <w:tmpl w:val="8C0A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436798"/>
    <w:multiLevelType w:val="multilevel"/>
    <w:tmpl w:val="1E4C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1956247">
    <w:abstractNumId w:val="0"/>
  </w:num>
  <w:num w:numId="2" w16cid:durableId="806582626">
    <w:abstractNumId w:val="4"/>
  </w:num>
  <w:num w:numId="3" w16cid:durableId="1440565791">
    <w:abstractNumId w:val="2"/>
  </w:num>
  <w:num w:numId="4" w16cid:durableId="1474954127">
    <w:abstractNumId w:val="3"/>
  </w:num>
  <w:num w:numId="5" w16cid:durableId="838410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n, Anna">
    <w15:presenceInfo w15:providerId="AD" w15:userId="S::anna.horn@city.ac.uk::77953c1b-c720-4038-8a48-9c79b215beff"/>
  </w15:person>
  <w15:person w15:author="PG-Melamed, Anna">
    <w15:presenceInfo w15:providerId="AD" w15:userId="S::anna.melamed@city.ac.uk::15457967-665f-4ff9-b6f0-970656a744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9"/>
    <w:rsid w:val="00054B33"/>
    <w:rsid w:val="000A1A24"/>
    <w:rsid w:val="000A1DB4"/>
    <w:rsid w:val="000A765B"/>
    <w:rsid w:val="000B5956"/>
    <w:rsid w:val="000C5187"/>
    <w:rsid w:val="000E485A"/>
    <w:rsid w:val="000F0BD5"/>
    <w:rsid w:val="00131C7E"/>
    <w:rsid w:val="00140A4C"/>
    <w:rsid w:val="00156125"/>
    <w:rsid w:val="001655B5"/>
    <w:rsid w:val="0019753E"/>
    <w:rsid w:val="001D18A4"/>
    <w:rsid w:val="0021199A"/>
    <w:rsid w:val="00216614"/>
    <w:rsid w:val="00261A68"/>
    <w:rsid w:val="00272613"/>
    <w:rsid w:val="00305D69"/>
    <w:rsid w:val="00312059"/>
    <w:rsid w:val="003314A5"/>
    <w:rsid w:val="00331C54"/>
    <w:rsid w:val="0036303E"/>
    <w:rsid w:val="003664E5"/>
    <w:rsid w:val="00394CE0"/>
    <w:rsid w:val="00396CB3"/>
    <w:rsid w:val="00396CE4"/>
    <w:rsid w:val="003A6818"/>
    <w:rsid w:val="003B16EF"/>
    <w:rsid w:val="003B4C29"/>
    <w:rsid w:val="003D365D"/>
    <w:rsid w:val="003F3F0C"/>
    <w:rsid w:val="003F4B56"/>
    <w:rsid w:val="00423E62"/>
    <w:rsid w:val="004334BF"/>
    <w:rsid w:val="00435D56"/>
    <w:rsid w:val="00443261"/>
    <w:rsid w:val="004C1BB7"/>
    <w:rsid w:val="004F345B"/>
    <w:rsid w:val="00530E4A"/>
    <w:rsid w:val="00532552"/>
    <w:rsid w:val="00540954"/>
    <w:rsid w:val="00592A86"/>
    <w:rsid w:val="005E4568"/>
    <w:rsid w:val="006208CE"/>
    <w:rsid w:val="006314F9"/>
    <w:rsid w:val="0067051F"/>
    <w:rsid w:val="00676AB6"/>
    <w:rsid w:val="00682258"/>
    <w:rsid w:val="006D4702"/>
    <w:rsid w:val="006E41B3"/>
    <w:rsid w:val="00714C7F"/>
    <w:rsid w:val="00717FDE"/>
    <w:rsid w:val="00737BEC"/>
    <w:rsid w:val="007442CC"/>
    <w:rsid w:val="00747BA5"/>
    <w:rsid w:val="00761094"/>
    <w:rsid w:val="00775868"/>
    <w:rsid w:val="00795E1A"/>
    <w:rsid w:val="007C2FA1"/>
    <w:rsid w:val="007C4CA7"/>
    <w:rsid w:val="007F0093"/>
    <w:rsid w:val="007F1EF5"/>
    <w:rsid w:val="00887263"/>
    <w:rsid w:val="008950E3"/>
    <w:rsid w:val="008A7040"/>
    <w:rsid w:val="009311EB"/>
    <w:rsid w:val="00931407"/>
    <w:rsid w:val="00971E04"/>
    <w:rsid w:val="00992763"/>
    <w:rsid w:val="009D735B"/>
    <w:rsid w:val="009E174B"/>
    <w:rsid w:val="009F705B"/>
    <w:rsid w:val="00A42BE9"/>
    <w:rsid w:val="00A50BF9"/>
    <w:rsid w:val="00A70FD2"/>
    <w:rsid w:val="00AB1566"/>
    <w:rsid w:val="00AC432E"/>
    <w:rsid w:val="00B0050A"/>
    <w:rsid w:val="00B40B20"/>
    <w:rsid w:val="00B83B6D"/>
    <w:rsid w:val="00B9227E"/>
    <w:rsid w:val="00BA41FC"/>
    <w:rsid w:val="00BE0DD8"/>
    <w:rsid w:val="00BF22AA"/>
    <w:rsid w:val="00C04219"/>
    <w:rsid w:val="00C12BDC"/>
    <w:rsid w:val="00C6230D"/>
    <w:rsid w:val="00C75BD1"/>
    <w:rsid w:val="00C8111D"/>
    <w:rsid w:val="00C8631B"/>
    <w:rsid w:val="00C90D0E"/>
    <w:rsid w:val="00C9325E"/>
    <w:rsid w:val="00C97AF1"/>
    <w:rsid w:val="00CA46EA"/>
    <w:rsid w:val="00CA5A14"/>
    <w:rsid w:val="00D13A60"/>
    <w:rsid w:val="00D20CB2"/>
    <w:rsid w:val="00D31A65"/>
    <w:rsid w:val="00D373EA"/>
    <w:rsid w:val="00D533BD"/>
    <w:rsid w:val="00E11CF8"/>
    <w:rsid w:val="00E15628"/>
    <w:rsid w:val="00E41420"/>
    <w:rsid w:val="00E4762C"/>
    <w:rsid w:val="00E6133A"/>
    <w:rsid w:val="00E95EA4"/>
    <w:rsid w:val="00EC2E15"/>
    <w:rsid w:val="00ED13A2"/>
    <w:rsid w:val="00EE1BCE"/>
    <w:rsid w:val="00F10332"/>
    <w:rsid w:val="00F136B0"/>
    <w:rsid w:val="00F254AC"/>
    <w:rsid w:val="00F31157"/>
    <w:rsid w:val="00F34FC1"/>
    <w:rsid w:val="00F4357D"/>
    <w:rsid w:val="00F55ED9"/>
    <w:rsid w:val="00FD248D"/>
    <w:rsid w:val="00FD477B"/>
    <w:rsid w:val="00FD4EE9"/>
    <w:rsid w:val="00FD69D1"/>
    <w:rsid w:val="00FF1B3D"/>
    <w:rsid w:val="016C3079"/>
    <w:rsid w:val="016E3491"/>
    <w:rsid w:val="02CFF3C2"/>
    <w:rsid w:val="032CB068"/>
    <w:rsid w:val="04F6E8CC"/>
    <w:rsid w:val="053875AF"/>
    <w:rsid w:val="06C06AEC"/>
    <w:rsid w:val="081D4560"/>
    <w:rsid w:val="096288E3"/>
    <w:rsid w:val="0B9A4AFF"/>
    <w:rsid w:val="0C664E1D"/>
    <w:rsid w:val="0C8A2A63"/>
    <w:rsid w:val="0D222E42"/>
    <w:rsid w:val="0D949A93"/>
    <w:rsid w:val="0F66344B"/>
    <w:rsid w:val="10134133"/>
    <w:rsid w:val="101C5658"/>
    <w:rsid w:val="10E8DC4F"/>
    <w:rsid w:val="11978AEC"/>
    <w:rsid w:val="11F682C0"/>
    <w:rsid w:val="12B3F5D2"/>
    <w:rsid w:val="135D7865"/>
    <w:rsid w:val="13A43BDC"/>
    <w:rsid w:val="13B1F428"/>
    <w:rsid w:val="14BF92D7"/>
    <w:rsid w:val="151A64C9"/>
    <w:rsid w:val="1537C3B5"/>
    <w:rsid w:val="16B7F133"/>
    <w:rsid w:val="172DB923"/>
    <w:rsid w:val="17BDE56D"/>
    <w:rsid w:val="17EE72D2"/>
    <w:rsid w:val="18AF3B31"/>
    <w:rsid w:val="1975A754"/>
    <w:rsid w:val="198C9B05"/>
    <w:rsid w:val="1A43587B"/>
    <w:rsid w:val="1B26293B"/>
    <w:rsid w:val="1B512E1F"/>
    <w:rsid w:val="1B8A7944"/>
    <w:rsid w:val="1CDA79F1"/>
    <w:rsid w:val="1D71941F"/>
    <w:rsid w:val="1DC657CD"/>
    <w:rsid w:val="1EC78BB3"/>
    <w:rsid w:val="1EE10498"/>
    <w:rsid w:val="2141E4FD"/>
    <w:rsid w:val="22F3216E"/>
    <w:rsid w:val="23177D37"/>
    <w:rsid w:val="24173C7A"/>
    <w:rsid w:val="25CC02B3"/>
    <w:rsid w:val="26365204"/>
    <w:rsid w:val="2690299C"/>
    <w:rsid w:val="26CDC35F"/>
    <w:rsid w:val="272BFBC9"/>
    <w:rsid w:val="272F05A9"/>
    <w:rsid w:val="2752EDC8"/>
    <w:rsid w:val="275BBA6F"/>
    <w:rsid w:val="282F363E"/>
    <w:rsid w:val="291E2140"/>
    <w:rsid w:val="2A84E120"/>
    <w:rsid w:val="2ACFEBDA"/>
    <w:rsid w:val="2B48F89A"/>
    <w:rsid w:val="2BA2E5B3"/>
    <w:rsid w:val="2C7B338E"/>
    <w:rsid w:val="2D725F99"/>
    <w:rsid w:val="2E2FBA35"/>
    <w:rsid w:val="2E9EFDA1"/>
    <w:rsid w:val="2EA89057"/>
    <w:rsid w:val="2F7E32BF"/>
    <w:rsid w:val="2FA5096F"/>
    <w:rsid w:val="326CC79E"/>
    <w:rsid w:val="3299409C"/>
    <w:rsid w:val="329F0B67"/>
    <w:rsid w:val="333618CE"/>
    <w:rsid w:val="335F8FAC"/>
    <w:rsid w:val="3469A38E"/>
    <w:rsid w:val="34800BE5"/>
    <w:rsid w:val="3509E090"/>
    <w:rsid w:val="361B222E"/>
    <w:rsid w:val="36C9D0CB"/>
    <w:rsid w:val="37786E74"/>
    <w:rsid w:val="37A5606D"/>
    <w:rsid w:val="38DBACBA"/>
    <w:rsid w:val="3B5C1CF0"/>
    <w:rsid w:val="3BD7289F"/>
    <w:rsid w:val="3C42E459"/>
    <w:rsid w:val="3DC45E92"/>
    <w:rsid w:val="3DD7295B"/>
    <w:rsid w:val="3DD8B6C8"/>
    <w:rsid w:val="3EEF5764"/>
    <w:rsid w:val="3FC20474"/>
    <w:rsid w:val="402A800F"/>
    <w:rsid w:val="408B27C5"/>
    <w:rsid w:val="40A6B546"/>
    <w:rsid w:val="41656405"/>
    <w:rsid w:val="4189460C"/>
    <w:rsid w:val="41C65070"/>
    <w:rsid w:val="42DC1F68"/>
    <w:rsid w:val="42DFCA58"/>
    <w:rsid w:val="42F7D1DD"/>
    <w:rsid w:val="432522F3"/>
    <w:rsid w:val="4355249B"/>
    <w:rsid w:val="4493A23E"/>
    <w:rsid w:val="461A1E20"/>
    <w:rsid w:val="4699C193"/>
    <w:rsid w:val="46D7B813"/>
    <w:rsid w:val="483591F4"/>
    <w:rsid w:val="488E8D57"/>
    <w:rsid w:val="49D02181"/>
    <w:rsid w:val="4BCF02FC"/>
    <w:rsid w:val="4BF8DB5D"/>
    <w:rsid w:val="4C8E2550"/>
    <w:rsid w:val="4D1DB41E"/>
    <w:rsid w:val="4D211A1D"/>
    <w:rsid w:val="4EDAB9A4"/>
    <w:rsid w:val="4FA7D809"/>
    <w:rsid w:val="4FE626F0"/>
    <w:rsid w:val="5056AED4"/>
    <w:rsid w:val="50EFAFD1"/>
    <w:rsid w:val="514541B6"/>
    <w:rsid w:val="5148ECEF"/>
    <w:rsid w:val="51AB0047"/>
    <w:rsid w:val="53DEC68B"/>
    <w:rsid w:val="5406A052"/>
    <w:rsid w:val="544FA4E3"/>
    <w:rsid w:val="54A647AB"/>
    <w:rsid w:val="55009F02"/>
    <w:rsid w:val="5502A645"/>
    <w:rsid w:val="5549FB28"/>
    <w:rsid w:val="55E3D7E5"/>
    <w:rsid w:val="56B5F145"/>
    <w:rsid w:val="59E511E7"/>
    <w:rsid w:val="5B75ECA9"/>
    <w:rsid w:val="5BCC0D08"/>
    <w:rsid w:val="5DF9C177"/>
    <w:rsid w:val="5E3E52C4"/>
    <w:rsid w:val="5E705AF2"/>
    <w:rsid w:val="5EDE50B1"/>
    <w:rsid w:val="5F046080"/>
    <w:rsid w:val="5F1893F8"/>
    <w:rsid w:val="60D618A4"/>
    <w:rsid w:val="620F3E7C"/>
    <w:rsid w:val="62B1E2AE"/>
    <w:rsid w:val="62D8DC1E"/>
    <w:rsid w:val="6325C381"/>
    <w:rsid w:val="645D4675"/>
    <w:rsid w:val="658808FF"/>
    <w:rsid w:val="65A00F0A"/>
    <w:rsid w:val="65D46998"/>
    <w:rsid w:val="67B2BC2F"/>
    <w:rsid w:val="688FFEBB"/>
    <w:rsid w:val="68E37539"/>
    <w:rsid w:val="69B5ACB1"/>
    <w:rsid w:val="6B46FFDE"/>
    <w:rsid w:val="6D81A5C3"/>
    <w:rsid w:val="6DDAC863"/>
    <w:rsid w:val="6EAE41AA"/>
    <w:rsid w:val="6EED2F25"/>
    <w:rsid w:val="6EF0B390"/>
    <w:rsid w:val="6F31BF6E"/>
    <w:rsid w:val="706E89EC"/>
    <w:rsid w:val="70D851F5"/>
    <w:rsid w:val="70DB9F55"/>
    <w:rsid w:val="710523BB"/>
    <w:rsid w:val="719404D6"/>
    <w:rsid w:val="71952BA8"/>
    <w:rsid w:val="7222C9AA"/>
    <w:rsid w:val="733E5A0D"/>
    <w:rsid w:val="7349D29F"/>
    <w:rsid w:val="75BA6911"/>
    <w:rsid w:val="769865E5"/>
    <w:rsid w:val="76C8821C"/>
    <w:rsid w:val="779AFD90"/>
    <w:rsid w:val="77FBC20C"/>
    <w:rsid w:val="783BD6EC"/>
    <w:rsid w:val="7965044D"/>
    <w:rsid w:val="796F3675"/>
    <w:rsid w:val="79D991CB"/>
    <w:rsid w:val="7A31381B"/>
    <w:rsid w:val="7B2293C4"/>
    <w:rsid w:val="7BA5F6AC"/>
    <w:rsid w:val="7C040749"/>
    <w:rsid w:val="7C9F436D"/>
    <w:rsid w:val="7D480CC9"/>
    <w:rsid w:val="7D505CF0"/>
    <w:rsid w:val="7D9277BB"/>
    <w:rsid w:val="7E63DCBD"/>
    <w:rsid w:val="7E83397A"/>
    <w:rsid w:val="7EB4DEC7"/>
    <w:rsid w:val="7FA27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EB3A"/>
  <w15:chartTrackingRefBased/>
  <w15:docId w15:val="{DFB44097-42D9-8E43-85C7-46EA2300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12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156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311EB"/>
  </w:style>
  <w:style w:type="character" w:customStyle="1" w:styleId="Heading1Char">
    <w:name w:val="Heading 1 Char"/>
    <w:basedOn w:val="DefaultParagraphFont"/>
    <w:link w:val="Heading1"/>
    <w:uiPriority w:val="9"/>
    <w:rsid w:val="00156125"/>
    <w:rPr>
      <w:rFonts w:asciiTheme="majorHAnsi" w:eastAsiaTheme="majorEastAsia" w:hAnsiTheme="majorHAnsi" w:cstheme="majorBidi"/>
      <w:color w:val="2F5496" w:themeColor="accent1" w:themeShade="BF"/>
      <w:sz w:val="32"/>
      <w:szCs w:val="32"/>
      <w:lang w:val="en-AU"/>
    </w:rPr>
  </w:style>
  <w:style w:type="paragraph" w:styleId="ListParagraph">
    <w:name w:val="List Paragraph"/>
    <w:basedOn w:val="Normal"/>
    <w:uiPriority w:val="34"/>
    <w:qFormat/>
    <w:rsid w:val="00396CB3"/>
    <w:pPr>
      <w:ind w:left="720"/>
      <w:contextualSpacing/>
    </w:pPr>
  </w:style>
  <w:style w:type="character" w:styleId="CommentReference">
    <w:name w:val="annotation reference"/>
    <w:basedOn w:val="DefaultParagraphFont"/>
    <w:uiPriority w:val="99"/>
    <w:semiHidden/>
    <w:unhideWhenUsed/>
    <w:rsid w:val="00D20CB2"/>
    <w:rPr>
      <w:sz w:val="16"/>
      <w:szCs w:val="16"/>
    </w:rPr>
  </w:style>
  <w:style w:type="paragraph" w:styleId="CommentText">
    <w:name w:val="annotation text"/>
    <w:basedOn w:val="Normal"/>
    <w:link w:val="CommentTextChar"/>
    <w:uiPriority w:val="99"/>
    <w:unhideWhenUsed/>
    <w:rsid w:val="00D20CB2"/>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D20CB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A1DB4"/>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1DB4"/>
    <w:rPr>
      <w:rFonts w:ascii="Times New Roman" w:eastAsia="Times New Roman" w:hAnsi="Times New Roman" w:cs="Times New Roman"/>
      <w:b/>
      <w:bCs/>
      <w:sz w:val="20"/>
      <w:szCs w:val="20"/>
      <w:lang w:eastAsia="en-GB"/>
    </w:rPr>
  </w:style>
  <w:style w:type="paragraph" w:styleId="Revision">
    <w:name w:val="Revision"/>
    <w:hidden/>
    <w:uiPriority w:val="99"/>
    <w:semiHidden/>
    <w:rsid w:val="00C9325E"/>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767">
      <w:bodyDiv w:val="1"/>
      <w:marLeft w:val="0"/>
      <w:marRight w:val="0"/>
      <w:marTop w:val="0"/>
      <w:marBottom w:val="0"/>
      <w:divBdr>
        <w:top w:val="none" w:sz="0" w:space="0" w:color="auto"/>
        <w:left w:val="none" w:sz="0" w:space="0" w:color="auto"/>
        <w:bottom w:val="none" w:sz="0" w:space="0" w:color="auto"/>
        <w:right w:val="none" w:sz="0" w:space="0" w:color="auto"/>
      </w:divBdr>
    </w:div>
    <w:div w:id="487743782">
      <w:bodyDiv w:val="1"/>
      <w:marLeft w:val="0"/>
      <w:marRight w:val="0"/>
      <w:marTop w:val="0"/>
      <w:marBottom w:val="0"/>
      <w:divBdr>
        <w:top w:val="none" w:sz="0" w:space="0" w:color="auto"/>
        <w:left w:val="none" w:sz="0" w:space="0" w:color="auto"/>
        <w:bottom w:val="none" w:sz="0" w:space="0" w:color="auto"/>
        <w:right w:val="none" w:sz="0" w:space="0" w:color="auto"/>
      </w:divBdr>
      <w:divsChild>
        <w:div w:id="1311979134">
          <w:marLeft w:val="0"/>
          <w:marRight w:val="0"/>
          <w:marTop w:val="0"/>
          <w:marBottom w:val="0"/>
          <w:divBdr>
            <w:top w:val="none" w:sz="0" w:space="0" w:color="auto"/>
            <w:left w:val="none" w:sz="0" w:space="0" w:color="auto"/>
            <w:bottom w:val="none" w:sz="0" w:space="0" w:color="auto"/>
            <w:right w:val="none" w:sz="0" w:space="0" w:color="auto"/>
          </w:divBdr>
          <w:divsChild>
            <w:div w:id="1367371832">
              <w:marLeft w:val="0"/>
              <w:marRight w:val="0"/>
              <w:marTop w:val="0"/>
              <w:marBottom w:val="0"/>
              <w:divBdr>
                <w:top w:val="none" w:sz="0" w:space="0" w:color="auto"/>
                <w:left w:val="none" w:sz="0" w:space="0" w:color="auto"/>
                <w:bottom w:val="none" w:sz="0" w:space="0" w:color="auto"/>
                <w:right w:val="none" w:sz="0" w:space="0" w:color="auto"/>
              </w:divBdr>
              <w:divsChild>
                <w:div w:id="9056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8683">
      <w:bodyDiv w:val="1"/>
      <w:marLeft w:val="0"/>
      <w:marRight w:val="0"/>
      <w:marTop w:val="0"/>
      <w:marBottom w:val="0"/>
      <w:divBdr>
        <w:top w:val="none" w:sz="0" w:space="0" w:color="auto"/>
        <w:left w:val="none" w:sz="0" w:space="0" w:color="auto"/>
        <w:bottom w:val="none" w:sz="0" w:space="0" w:color="auto"/>
        <w:right w:val="none" w:sz="0" w:space="0" w:color="auto"/>
      </w:divBdr>
      <w:divsChild>
        <w:div w:id="4092530">
          <w:marLeft w:val="0"/>
          <w:marRight w:val="0"/>
          <w:marTop w:val="0"/>
          <w:marBottom w:val="0"/>
          <w:divBdr>
            <w:top w:val="none" w:sz="0" w:space="0" w:color="auto"/>
            <w:left w:val="none" w:sz="0" w:space="0" w:color="auto"/>
            <w:bottom w:val="none" w:sz="0" w:space="0" w:color="auto"/>
            <w:right w:val="none" w:sz="0" w:space="0" w:color="auto"/>
          </w:divBdr>
          <w:divsChild>
            <w:div w:id="98257702">
              <w:marLeft w:val="0"/>
              <w:marRight w:val="0"/>
              <w:marTop w:val="0"/>
              <w:marBottom w:val="0"/>
              <w:divBdr>
                <w:top w:val="none" w:sz="0" w:space="0" w:color="auto"/>
                <w:left w:val="none" w:sz="0" w:space="0" w:color="auto"/>
                <w:bottom w:val="none" w:sz="0" w:space="0" w:color="auto"/>
                <w:right w:val="none" w:sz="0" w:space="0" w:color="auto"/>
              </w:divBdr>
              <w:divsChild>
                <w:div w:id="3166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0041">
      <w:bodyDiv w:val="1"/>
      <w:marLeft w:val="0"/>
      <w:marRight w:val="0"/>
      <w:marTop w:val="0"/>
      <w:marBottom w:val="0"/>
      <w:divBdr>
        <w:top w:val="none" w:sz="0" w:space="0" w:color="auto"/>
        <w:left w:val="none" w:sz="0" w:space="0" w:color="auto"/>
        <w:bottom w:val="none" w:sz="0" w:space="0" w:color="auto"/>
        <w:right w:val="none" w:sz="0" w:space="0" w:color="auto"/>
      </w:divBdr>
      <w:divsChild>
        <w:div w:id="358942188">
          <w:marLeft w:val="0"/>
          <w:marRight w:val="0"/>
          <w:marTop w:val="0"/>
          <w:marBottom w:val="0"/>
          <w:divBdr>
            <w:top w:val="none" w:sz="0" w:space="0" w:color="auto"/>
            <w:left w:val="none" w:sz="0" w:space="0" w:color="auto"/>
            <w:bottom w:val="none" w:sz="0" w:space="0" w:color="auto"/>
            <w:right w:val="none" w:sz="0" w:space="0" w:color="auto"/>
          </w:divBdr>
          <w:divsChild>
            <w:div w:id="577373291">
              <w:marLeft w:val="0"/>
              <w:marRight w:val="0"/>
              <w:marTop w:val="0"/>
              <w:marBottom w:val="0"/>
              <w:divBdr>
                <w:top w:val="none" w:sz="0" w:space="0" w:color="auto"/>
                <w:left w:val="none" w:sz="0" w:space="0" w:color="auto"/>
                <w:bottom w:val="none" w:sz="0" w:space="0" w:color="auto"/>
                <w:right w:val="none" w:sz="0" w:space="0" w:color="auto"/>
              </w:divBdr>
              <w:divsChild>
                <w:div w:id="6525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347">
      <w:bodyDiv w:val="1"/>
      <w:marLeft w:val="0"/>
      <w:marRight w:val="0"/>
      <w:marTop w:val="0"/>
      <w:marBottom w:val="0"/>
      <w:divBdr>
        <w:top w:val="none" w:sz="0" w:space="0" w:color="auto"/>
        <w:left w:val="none" w:sz="0" w:space="0" w:color="auto"/>
        <w:bottom w:val="none" w:sz="0" w:space="0" w:color="auto"/>
        <w:right w:val="none" w:sz="0" w:space="0" w:color="auto"/>
      </w:divBdr>
      <w:divsChild>
        <w:div w:id="1324091721">
          <w:marLeft w:val="0"/>
          <w:marRight w:val="0"/>
          <w:marTop w:val="0"/>
          <w:marBottom w:val="0"/>
          <w:divBdr>
            <w:top w:val="none" w:sz="0" w:space="0" w:color="auto"/>
            <w:left w:val="none" w:sz="0" w:space="0" w:color="auto"/>
            <w:bottom w:val="none" w:sz="0" w:space="0" w:color="auto"/>
            <w:right w:val="none" w:sz="0" w:space="0" w:color="auto"/>
          </w:divBdr>
          <w:divsChild>
            <w:div w:id="554590370">
              <w:marLeft w:val="0"/>
              <w:marRight w:val="0"/>
              <w:marTop w:val="0"/>
              <w:marBottom w:val="0"/>
              <w:divBdr>
                <w:top w:val="none" w:sz="0" w:space="0" w:color="auto"/>
                <w:left w:val="none" w:sz="0" w:space="0" w:color="auto"/>
                <w:bottom w:val="none" w:sz="0" w:space="0" w:color="auto"/>
                <w:right w:val="none" w:sz="0" w:space="0" w:color="auto"/>
              </w:divBdr>
              <w:divsChild>
                <w:div w:id="20230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169">
      <w:bodyDiv w:val="1"/>
      <w:marLeft w:val="0"/>
      <w:marRight w:val="0"/>
      <w:marTop w:val="0"/>
      <w:marBottom w:val="0"/>
      <w:divBdr>
        <w:top w:val="none" w:sz="0" w:space="0" w:color="auto"/>
        <w:left w:val="none" w:sz="0" w:space="0" w:color="auto"/>
        <w:bottom w:val="none" w:sz="0" w:space="0" w:color="auto"/>
        <w:right w:val="none" w:sz="0" w:space="0" w:color="auto"/>
      </w:divBdr>
      <w:divsChild>
        <w:div w:id="151869081">
          <w:marLeft w:val="0"/>
          <w:marRight w:val="0"/>
          <w:marTop w:val="0"/>
          <w:marBottom w:val="0"/>
          <w:divBdr>
            <w:top w:val="none" w:sz="0" w:space="0" w:color="auto"/>
            <w:left w:val="none" w:sz="0" w:space="0" w:color="auto"/>
            <w:bottom w:val="none" w:sz="0" w:space="0" w:color="auto"/>
            <w:right w:val="none" w:sz="0" w:space="0" w:color="auto"/>
          </w:divBdr>
        </w:div>
      </w:divsChild>
    </w:div>
    <w:div w:id="1222448076">
      <w:bodyDiv w:val="1"/>
      <w:marLeft w:val="0"/>
      <w:marRight w:val="0"/>
      <w:marTop w:val="0"/>
      <w:marBottom w:val="0"/>
      <w:divBdr>
        <w:top w:val="none" w:sz="0" w:space="0" w:color="auto"/>
        <w:left w:val="none" w:sz="0" w:space="0" w:color="auto"/>
        <w:bottom w:val="none" w:sz="0" w:space="0" w:color="auto"/>
        <w:right w:val="none" w:sz="0" w:space="0" w:color="auto"/>
      </w:divBdr>
    </w:div>
    <w:div w:id="1249267954">
      <w:bodyDiv w:val="1"/>
      <w:marLeft w:val="0"/>
      <w:marRight w:val="0"/>
      <w:marTop w:val="0"/>
      <w:marBottom w:val="0"/>
      <w:divBdr>
        <w:top w:val="none" w:sz="0" w:space="0" w:color="auto"/>
        <w:left w:val="none" w:sz="0" w:space="0" w:color="auto"/>
        <w:bottom w:val="none" w:sz="0" w:space="0" w:color="auto"/>
        <w:right w:val="none" w:sz="0" w:space="0" w:color="auto"/>
      </w:divBdr>
      <w:divsChild>
        <w:div w:id="709258239">
          <w:marLeft w:val="0"/>
          <w:marRight w:val="0"/>
          <w:marTop w:val="0"/>
          <w:marBottom w:val="0"/>
          <w:divBdr>
            <w:top w:val="none" w:sz="0" w:space="0" w:color="auto"/>
            <w:left w:val="none" w:sz="0" w:space="0" w:color="auto"/>
            <w:bottom w:val="none" w:sz="0" w:space="0" w:color="auto"/>
            <w:right w:val="none" w:sz="0" w:space="0" w:color="auto"/>
          </w:divBdr>
          <w:divsChild>
            <w:div w:id="1578831223">
              <w:marLeft w:val="0"/>
              <w:marRight w:val="0"/>
              <w:marTop w:val="0"/>
              <w:marBottom w:val="0"/>
              <w:divBdr>
                <w:top w:val="none" w:sz="0" w:space="0" w:color="auto"/>
                <w:left w:val="none" w:sz="0" w:space="0" w:color="auto"/>
                <w:bottom w:val="none" w:sz="0" w:space="0" w:color="auto"/>
                <w:right w:val="none" w:sz="0" w:space="0" w:color="auto"/>
              </w:divBdr>
              <w:divsChild>
                <w:div w:id="2322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6682">
      <w:bodyDiv w:val="1"/>
      <w:marLeft w:val="0"/>
      <w:marRight w:val="0"/>
      <w:marTop w:val="0"/>
      <w:marBottom w:val="0"/>
      <w:divBdr>
        <w:top w:val="none" w:sz="0" w:space="0" w:color="auto"/>
        <w:left w:val="none" w:sz="0" w:space="0" w:color="auto"/>
        <w:bottom w:val="none" w:sz="0" w:space="0" w:color="auto"/>
        <w:right w:val="none" w:sz="0" w:space="0" w:color="auto"/>
      </w:divBdr>
      <w:divsChild>
        <w:div w:id="520778542">
          <w:marLeft w:val="0"/>
          <w:marRight w:val="0"/>
          <w:marTop w:val="0"/>
          <w:marBottom w:val="0"/>
          <w:divBdr>
            <w:top w:val="none" w:sz="0" w:space="0" w:color="auto"/>
            <w:left w:val="none" w:sz="0" w:space="0" w:color="auto"/>
            <w:bottom w:val="none" w:sz="0" w:space="0" w:color="auto"/>
            <w:right w:val="none" w:sz="0" w:space="0" w:color="auto"/>
          </w:divBdr>
          <w:divsChild>
            <w:div w:id="1920748323">
              <w:marLeft w:val="0"/>
              <w:marRight w:val="0"/>
              <w:marTop w:val="0"/>
              <w:marBottom w:val="0"/>
              <w:divBdr>
                <w:top w:val="none" w:sz="0" w:space="0" w:color="auto"/>
                <w:left w:val="none" w:sz="0" w:space="0" w:color="auto"/>
                <w:bottom w:val="none" w:sz="0" w:space="0" w:color="auto"/>
                <w:right w:val="none" w:sz="0" w:space="0" w:color="auto"/>
              </w:divBdr>
              <w:divsChild>
                <w:div w:id="1125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2279">
      <w:bodyDiv w:val="1"/>
      <w:marLeft w:val="0"/>
      <w:marRight w:val="0"/>
      <w:marTop w:val="0"/>
      <w:marBottom w:val="0"/>
      <w:divBdr>
        <w:top w:val="none" w:sz="0" w:space="0" w:color="auto"/>
        <w:left w:val="none" w:sz="0" w:space="0" w:color="auto"/>
        <w:bottom w:val="none" w:sz="0" w:space="0" w:color="auto"/>
        <w:right w:val="none" w:sz="0" w:space="0" w:color="auto"/>
      </w:divBdr>
      <w:divsChild>
        <w:div w:id="1521236548">
          <w:marLeft w:val="0"/>
          <w:marRight w:val="0"/>
          <w:marTop w:val="0"/>
          <w:marBottom w:val="0"/>
          <w:divBdr>
            <w:top w:val="none" w:sz="0" w:space="0" w:color="auto"/>
            <w:left w:val="none" w:sz="0" w:space="0" w:color="auto"/>
            <w:bottom w:val="none" w:sz="0" w:space="0" w:color="auto"/>
            <w:right w:val="none" w:sz="0" w:space="0" w:color="auto"/>
          </w:divBdr>
          <w:divsChild>
            <w:div w:id="691884904">
              <w:marLeft w:val="0"/>
              <w:marRight w:val="0"/>
              <w:marTop w:val="0"/>
              <w:marBottom w:val="0"/>
              <w:divBdr>
                <w:top w:val="none" w:sz="0" w:space="0" w:color="auto"/>
                <w:left w:val="none" w:sz="0" w:space="0" w:color="auto"/>
                <w:bottom w:val="none" w:sz="0" w:space="0" w:color="auto"/>
                <w:right w:val="none" w:sz="0" w:space="0" w:color="auto"/>
              </w:divBdr>
              <w:divsChild>
                <w:div w:id="875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77568">
      <w:bodyDiv w:val="1"/>
      <w:marLeft w:val="0"/>
      <w:marRight w:val="0"/>
      <w:marTop w:val="0"/>
      <w:marBottom w:val="0"/>
      <w:divBdr>
        <w:top w:val="none" w:sz="0" w:space="0" w:color="auto"/>
        <w:left w:val="none" w:sz="0" w:space="0" w:color="auto"/>
        <w:bottom w:val="none" w:sz="0" w:space="0" w:color="auto"/>
        <w:right w:val="none" w:sz="0" w:space="0" w:color="auto"/>
      </w:divBdr>
      <w:divsChild>
        <w:div w:id="355354848">
          <w:marLeft w:val="0"/>
          <w:marRight w:val="0"/>
          <w:marTop w:val="0"/>
          <w:marBottom w:val="0"/>
          <w:divBdr>
            <w:top w:val="none" w:sz="0" w:space="0" w:color="auto"/>
            <w:left w:val="none" w:sz="0" w:space="0" w:color="auto"/>
            <w:bottom w:val="none" w:sz="0" w:space="0" w:color="auto"/>
            <w:right w:val="none" w:sz="0" w:space="0" w:color="auto"/>
          </w:divBdr>
          <w:divsChild>
            <w:div w:id="1676376920">
              <w:marLeft w:val="0"/>
              <w:marRight w:val="0"/>
              <w:marTop w:val="0"/>
              <w:marBottom w:val="0"/>
              <w:divBdr>
                <w:top w:val="none" w:sz="0" w:space="0" w:color="auto"/>
                <w:left w:val="none" w:sz="0" w:space="0" w:color="auto"/>
                <w:bottom w:val="none" w:sz="0" w:space="0" w:color="auto"/>
                <w:right w:val="none" w:sz="0" w:space="0" w:color="auto"/>
              </w:divBdr>
              <w:divsChild>
                <w:div w:id="4067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4877">
      <w:bodyDiv w:val="1"/>
      <w:marLeft w:val="0"/>
      <w:marRight w:val="0"/>
      <w:marTop w:val="0"/>
      <w:marBottom w:val="0"/>
      <w:divBdr>
        <w:top w:val="none" w:sz="0" w:space="0" w:color="auto"/>
        <w:left w:val="none" w:sz="0" w:space="0" w:color="auto"/>
        <w:bottom w:val="none" w:sz="0" w:space="0" w:color="auto"/>
        <w:right w:val="none" w:sz="0" w:space="0" w:color="auto"/>
      </w:divBdr>
      <w:divsChild>
        <w:div w:id="1919945531">
          <w:marLeft w:val="0"/>
          <w:marRight w:val="0"/>
          <w:marTop w:val="0"/>
          <w:marBottom w:val="0"/>
          <w:divBdr>
            <w:top w:val="none" w:sz="0" w:space="0" w:color="auto"/>
            <w:left w:val="none" w:sz="0" w:space="0" w:color="auto"/>
            <w:bottom w:val="none" w:sz="0" w:space="0" w:color="auto"/>
            <w:right w:val="none" w:sz="0" w:space="0" w:color="auto"/>
          </w:divBdr>
          <w:divsChild>
            <w:div w:id="1291283026">
              <w:marLeft w:val="0"/>
              <w:marRight w:val="0"/>
              <w:marTop w:val="0"/>
              <w:marBottom w:val="0"/>
              <w:divBdr>
                <w:top w:val="none" w:sz="0" w:space="0" w:color="auto"/>
                <w:left w:val="none" w:sz="0" w:space="0" w:color="auto"/>
                <w:bottom w:val="none" w:sz="0" w:space="0" w:color="auto"/>
                <w:right w:val="none" w:sz="0" w:space="0" w:color="auto"/>
              </w:divBdr>
              <w:divsChild>
                <w:div w:id="18035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48">
      <w:bodyDiv w:val="1"/>
      <w:marLeft w:val="0"/>
      <w:marRight w:val="0"/>
      <w:marTop w:val="0"/>
      <w:marBottom w:val="0"/>
      <w:divBdr>
        <w:top w:val="none" w:sz="0" w:space="0" w:color="auto"/>
        <w:left w:val="none" w:sz="0" w:space="0" w:color="auto"/>
        <w:bottom w:val="none" w:sz="0" w:space="0" w:color="auto"/>
        <w:right w:val="none" w:sz="0" w:space="0" w:color="auto"/>
      </w:divBdr>
      <w:divsChild>
        <w:div w:id="1791436892">
          <w:marLeft w:val="0"/>
          <w:marRight w:val="0"/>
          <w:marTop w:val="0"/>
          <w:marBottom w:val="0"/>
          <w:divBdr>
            <w:top w:val="none" w:sz="0" w:space="0" w:color="auto"/>
            <w:left w:val="none" w:sz="0" w:space="0" w:color="auto"/>
            <w:bottom w:val="none" w:sz="0" w:space="0" w:color="auto"/>
            <w:right w:val="none" w:sz="0" w:space="0" w:color="auto"/>
          </w:divBdr>
          <w:divsChild>
            <w:div w:id="855735140">
              <w:marLeft w:val="0"/>
              <w:marRight w:val="0"/>
              <w:marTop w:val="0"/>
              <w:marBottom w:val="0"/>
              <w:divBdr>
                <w:top w:val="none" w:sz="0" w:space="0" w:color="auto"/>
                <w:left w:val="none" w:sz="0" w:space="0" w:color="auto"/>
                <w:bottom w:val="none" w:sz="0" w:space="0" w:color="auto"/>
                <w:right w:val="none" w:sz="0" w:space="0" w:color="auto"/>
              </w:divBdr>
              <w:divsChild>
                <w:div w:id="6372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11093">
      <w:bodyDiv w:val="1"/>
      <w:marLeft w:val="0"/>
      <w:marRight w:val="0"/>
      <w:marTop w:val="0"/>
      <w:marBottom w:val="0"/>
      <w:divBdr>
        <w:top w:val="none" w:sz="0" w:space="0" w:color="auto"/>
        <w:left w:val="none" w:sz="0" w:space="0" w:color="auto"/>
        <w:bottom w:val="none" w:sz="0" w:space="0" w:color="auto"/>
        <w:right w:val="none" w:sz="0" w:space="0" w:color="auto"/>
      </w:divBdr>
      <w:divsChild>
        <w:div w:id="1883788830">
          <w:marLeft w:val="0"/>
          <w:marRight w:val="0"/>
          <w:marTop w:val="0"/>
          <w:marBottom w:val="0"/>
          <w:divBdr>
            <w:top w:val="none" w:sz="0" w:space="0" w:color="auto"/>
            <w:left w:val="none" w:sz="0" w:space="0" w:color="auto"/>
            <w:bottom w:val="none" w:sz="0" w:space="0" w:color="auto"/>
            <w:right w:val="none" w:sz="0" w:space="0" w:color="auto"/>
          </w:divBdr>
          <w:divsChild>
            <w:div w:id="350498442">
              <w:marLeft w:val="0"/>
              <w:marRight w:val="0"/>
              <w:marTop w:val="0"/>
              <w:marBottom w:val="0"/>
              <w:divBdr>
                <w:top w:val="none" w:sz="0" w:space="0" w:color="auto"/>
                <w:left w:val="none" w:sz="0" w:space="0" w:color="auto"/>
                <w:bottom w:val="none" w:sz="0" w:space="0" w:color="auto"/>
                <w:right w:val="none" w:sz="0" w:space="0" w:color="auto"/>
              </w:divBdr>
              <w:divsChild>
                <w:div w:id="3075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3049">
      <w:bodyDiv w:val="1"/>
      <w:marLeft w:val="0"/>
      <w:marRight w:val="0"/>
      <w:marTop w:val="0"/>
      <w:marBottom w:val="0"/>
      <w:divBdr>
        <w:top w:val="none" w:sz="0" w:space="0" w:color="auto"/>
        <w:left w:val="none" w:sz="0" w:space="0" w:color="auto"/>
        <w:bottom w:val="none" w:sz="0" w:space="0" w:color="auto"/>
        <w:right w:val="none" w:sz="0" w:space="0" w:color="auto"/>
      </w:divBdr>
      <w:divsChild>
        <w:div w:id="1068528440">
          <w:marLeft w:val="0"/>
          <w:marRight w:val="0"/>
          <w:marTop w:val="0"/>
          <w:marBottom w:val="0"/>
          <w:divBdr>
            <w:top w:val="none" w:sz="0" w:space="0" w:color="auto"/>
            <w:left w:val="none" w:sz="0" w:space="0" w:color="auto"/>
            <w:bottom w:val="none" w:sz="0" w:space="0" w:color="auto"/>
            <w:right w:val="none" w:sz="0" w:space="0" w:color="auto"/>
          </w:divBdr>
          <w:divsChild>
            <w:div w:id="1740248197">
              <w:marLeft w:val="0"/>
              <w:marRight w:val="0"/>
              <w:marTop w:val="0"/>
              <w:marBottom w:val="0"/>
              <w:divBdr>
                <w:top w:val="none" w:sz="0" w:space="0" w:color="auto"/>
                <w:left w:val="none" w:sz="0" w:space="0" w:color="auto"/>
                <w:bottom w:val="none" w:sz="0" w:space="0" w:color="auto"/>
                <w:right w:val="none" w:sz="0" w:space="0" w:color="auto"/>
              </w:divBdr>
              <w:divsChild>
                <w:div w:id="34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2351">
      <w:bodyDiv w:val="1"/>
      <w:marLeft w:val="0"/>
      <w:marRight w:val="0"/>
      <w:marTop w:val="0"/>
      <w:marBottom w:val="0"/>
      <w:divBdr>
        <w:top w:val="none" w:sz="0" w:space="0" w:color="auto"/>
        <w:left w:val="none" w:sz="0" w:space="0" w:color="auto"/>
        <w:bottom w:val="none" w:sz="0" w:space="0" w:color="auto"/>
        <w:right w:val="none" w:sz="0" w:space="0" w:color="auto"/>
      </w:divBdr>
      <w:divsChild>
        <w:div w:id="920454270">
          <w:marLeft w:val="0"/>
          <w:marRight w:val="0"/>
          <w:marTop w:val="0"/>
          <w:marBottom w:val="0"/>
          <w:divBdr>
            <w:top w:val="none" w:sz="0" w:space="0" w:color="auto"/>
            <w:left w:val="none" w:sz="0" w:space="0" w:color="auto"/>
            <w:bottom w:val="none" w:sz="0" w:space="0" w:color="auto"/>
            <w:right w:val="none" w:sz="0" w:space="0" w:color="auto"/>
          </w:divBdr>
          <w:divsChild>
            <w:div w:id="102923471">
              <w:marLeft w:val="0"/>
              <w:marRight w:val="0"/>
              <w:marTop w:val="0"/>
              <w:marBottom w:val="0"/>
              <w:divBdr>
                <w:top w:val="none" w:sz="0" w:space="0" w:color="auto"/>
                <w:left w:val="none" w:sz="0" w:space="0" w:color="auto"/>
                <w:bottom w:val="none" w:sz="0" w:space="0" w:color="auto"/>
                <w:right w:val="none" w:sz="0" w:space="0" w:color="auto"/>
              </w:divBdr>
              <w:divsChild>
                <w:div w:id="2044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2173">
      <w:bodyDiv w:val="1"/>
      <w:marLeft w:val="0"/>
      <w:marRight w:val="0"/>
      <w:marTop w:val="0"/>
      <w:marBottom w:val="0"/>
      <w:divBdr>
        <w:top w:val="none" w:sz="0" w:space="0" w:color="auto"/>
        <w:left w:val="none" w:sz="0" w:space="0" w:color="auto"/>
        <w:bottom w:val="none" w:sz="0" w:space="0" w:color="auto"/>
        <w:right w:val="none" w:sz="0" w:space="0" w:color="auto"/>
      </w:divBdr>
      <w:divsChild>
        <w:div w:id="1664889829">
          <w:marLeft w:val="0"/>
          <w:marRight w:val="0"/>
          <w:marTop w:val="0"/>
          <w:marBottom w:val="0"/>
          <w:divBdr>
            <w:top w:val="none" w:sz="0" w:space="0" w:color="auto"/>
            <w:left w:val="none" w:sz="0" w:space="0" w:color="auto"/>
            <w:bottom w:val="none" w:sz="0" w:space="0" w:color="auto"/>
            <w:right w:val="none" w:sz="0" w:space="0" w:color="auto"/>
          </w:divBdr>
          <w:divsChild>
            <w:div w:id="1593315899">
              <w:marLeft w:val="0"/>
              <w:marRight w:val="0"/>
              <w:marTop w:val="0"/>
              <w:marBottom w:val="0"/>
              <w:divBdr>
                <w:top w:val="none" w:sz="0" w:space="0" w:color="auto"/>
                <w:left w:val="none" w:sz="0" w:space="0" w:color="auto"/>
                <w:bottom w:val="none" w:sz="0" w:space="0" w:color="auto"/>
                <w:right w:val="none" w:sz="0" w:space="0" w:color="auto"/>
              </w:divBdr>
              <w:divsChild>
                <w:div w:id="16723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556">
      <w:bodyDiv w:val="1"/>
      <w:marLeft w:val="0"/>
      <w:marRight w:val="0"/>
      <w:marTop w:val="0"/>
      <w:marBottom w:val="0"/>
      <w:divBdr>
        <w:top w:val="none" w:sz="0" w:space="0" w:color="auto"/>
        <w:left w:val="none" w:sz="0" w:space="0" w:color="auto"/>
        <w:bottom w:val="none" w:sz="0" w:space="0" w:color="auto"/>
        <w:right w:val="none" w:sz="0" w:space="0" w:color="auto"/>
      </w:divBdr>
      <w:divsChild>
        <w:div w:id="1045912308">
          <w:marLeft w:val="0"/>
          <w:marRight w:val="0"/>
          <w:marTop w:val="0"/>
          <w:marBottom w:val="0"/>
          <w:divBdr>
            <w:top w:val="none" w:sz="0" w:space="0" w:color="auto"/>
            <w:left w:val="none" w:sz="0" w:space="0" w:color="auto"/>
            <w:bottom w:val="none" w:sz="0" w:space="0" w:color="auto"/>
            <w:right w:val="none" w:sz="0" w:space="0" w:color="auto"/>
          </w:divBdr>
        </w:div>
      </w:divsChild>
    </w:div>
    <w:div w:id="1914318430">
      <w:bodyDiv w:val="1"/>
      <w:marLeft w:val="0"/>
      <w:marRight w:val="0"/>
      <w:marTop w:val="0"/>
      <w:marBottom w:val="0"/>
      <w:divBdr>
        <w:top w:val="none" w:sz="0" w:space="0" w:color="auto"/>
        <w:left w:val="none" w:sz="0" w:space="0" w:color="auto"/>
        <w:bottom w:val="none" w:sz="0" w:space="0" w:color="auto"/>
        <w:right w:val="none" w:sz="0" w:space="0" w:color="auto"/>
      </w:divBdr>
      <w:divsChild>
        <w:div w:id="1329091773">
          <w:marLeft w:val="0"/>
          <w:marRight w:val="0"/>
          <w:marTop w:val="0"/>
          <w:marBottom w:val="0"/>
          <w:divBdr>
            <w:top w:val="none" w:sz="0" w:space="0" w:color="auto"/>
            <w:left w:val="none" w:sz="0" w:space="0" w:color="auto"/>
            <w:bottom w:val="none" w:sz="0" w:space="0" w:color="auto"/>
            <w:right w:val="none" w:sz="0" w:space="0" w:color="auto"/>
          </w:divBdr>
        </w:div>
      </w:divsChild>
    </w:div>
    <w:div w:id="2086564888">
      <w:bodyDiv w:val="1"/>
      <w:marLeft w:val="0"/>
      <w:marRight w:val="0"/>
      <w:marTop w:val="0"/>
      <w:marBottom w:val="0"/>
      <w:divBdr>
        <w:top w:val="none" w:sz="0" w:space="0" w:color="auto"/>
        <w:left w:val="none" w:sz="0" w:space="0" w:color="auto"/>
        <w:bottom w:val="none" w:sz="0" w:space="0" w:color="auto"/>
        <w:right w:val="none" w:sz="0" w:space="0" w:color="auto"/>
      </w:divBdr>
      <w:divsChild>
        <w:div w:id="1199204186">
          <w:marLeft w:val="0"/>
          <w:marRight w:val="0"/>
          <w:marTop w:val="0"/>
          <w:marBottom w:val="0"/>
          <w:divBdr>
            <w:top w:val="none" w:sz="0" w:space="0" w:color="auto"/>
            <w:left w:val="none" w:sz="0" w:space="0" w:color="auto"/>
            <w:bottom w:val="none" w:sz="0" w:space="0" w:color="auto"/>
            <w:right w:val="none" w:sz="0" w:space="0" w:color="auto"/>
          </w:divBdr>
          <w:divsChild>
            <w:div w:id="850265277">
              <w:marLeft w:val="0"/>
              <w:marRight w:val="0"/>
              <w:marTop w:val="0"/>
              <w:marBottom w:val="0"/>
              <w:divBdr>
                <w:top w:val="none" w:sz="0" w:space="0" w:color="auto"/>
                <w:left w:val="none" w:sz="0" w:space="0" w:color="auto"/>
                <w:bottom w:val="none" w:sz="0" w:space="0" w:color="auto"/>
                <w:right w:val="none" w:sz="0" w:space="0" w:color="auto"/>
              </w:divBdr>
              <w:divsChild>
                <w:div w:id="1132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app.powerbi.com/view?r=eyJrIjoiYzQwNDFlZWEtNjJkNi00NzRiLTkxZjItOTg0MWZiYzliNTk2IiwidCI6IjUwZjYwNzFmLWJiZmUtNDAxYS04ODAzLTY3Mzc0OGU2MjllMiIsImMiOjh9&amp;pageName=ReportSection0aa5a6eee21114a7f60b" TargetMode="External"/><Relationship Id="rId18" Type="http://schemas.openxmlformats.org/officeDocument/2006/relationships/hyperlink" Target="https://www.midwiferyunitnetwork.org/wp-content/uploads/PDFs/LY1309BRO-MUNEt-Standards-PRINT-opt.pdf" TargetMode="External"/><Relationship Id="rId3" Type="http://schemas.openxmlformats.org/officeDocument/2006/relationships/settings" Target="settings.xml"/><Relationship Id="rId21" Type="http://schemas.microsoft.com/office/2011/relationships/people" Target="people.xml"/><Relationship Id="rId7" Type="http://schemas.microsoft.com/office/2016/09/relationships/commentsIds" Target="commentsIds.xml"/><Relationship Id="rId12" Type="http://schemas.openxmlformats.org/officeDocument/2006/relationships/hyperlink" Target="https://maternityaction.org.uk/campaigns/nhscharging/" TargetMode="External"/><Relationship Id="rId17" Type="http://schemas.openxmlformats.org/officeDocument/2006/relationships/hyperlink" Target="https://www.fivexmore.com/blackmereport" TargetMode="External"/><Relationship Id="rId2" Type="http://schemas.openxmlformats.org/officeDocument/2006/relationships/styles" Target="styles.xml"/><Relationship Id="rId16" Type="http://schemas.openxmlformats.org/officeDocument/2006/relationships/hyperlink" Target="https://www.ethnicity-facts-figures.service.gov.uk/uk-population-by-ethnicity/demographics/socioeconomic-status/lat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britishjournalofmidwifery.com/content/literature-review/ethnic-health-inequalities-in-the-uk-s-maternity-services-a-systematic-literature-review" TargetMode="External"/><Relationship Id="rId5" Type="http://schemas.openxmlformats.org/officeDocument/2006/relationships/comments" Target="comments.xml"/><Relationship Id="rId15" Type="http://schemas.openxmlformats.org/officeDocument/2006/relationships/hyperlink" Target="https://www.npeu.ox.ac.uk/mbrrace-uk" TargetMode="External"/><Relationship Id="rId10" Type="http://schemas.openxmlformats.org/officeDocument/2006/relationships/hyperlink" Target="https://www.internationalmidwives.org/our-work/policy-and-practice/icm-definitions.html" TargetMode="External"/><Relationship Id="rId19" Type="http://schemas.openxmlformats.org/officeDocument/2006/relationships/hyperlink" Target="https://www.sistersong.net/reproductive-justice" TargetMode="External"/><Relationship Id="rId4" Type="http://schemas.openxmlformats.org/officeDocument/2006/relationships/webSettings" Target="webSettings.xml"/><Relationship Id="rId9" Type="http://schemas.openxmlformats.org/officeDocument/2006/relationships/hyperlink" Target="https://pubmed.ncbi.nlm.nih.gov/26334076/" TargetMode="External"/><Relationship Id="rId14" Type="http://schemas.openxmlformats.org/officeDocument/2006/relationships/hyperlink" Target="https://www.nice.org.uk/guidance/qs1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2832</Words>
  <Characters>16148</Characters>
  <Application>Microsoft Office Word</Application>
  <DocSecurity>0</DocSecurity>
  <Lines>134</Lines>
  <Paragraphs>37</Paragraphs>
  <ScaleCrop>false</ScaleCrop>
  <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PG-Melamed, Anna</dc:creator>
  <cp:keywords/>
  <dc:description/>
  <cp:lastModifiedBy>PG-Melamed, Anna</cp:lastModifiedBy>
  <cp:revision>2</cp:revision>
  <dcterms:created xsi:type="dcterms:W3CDTF">2022-12-05T15:04:00Z</dcterms:created>
  <dcterms:modified xsi:type="dcterms:W3CDTF">2022-12-05T15:04:00Z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2022-11-10T15:43:25Z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cb14ca2e-4bf2-460e-bf94-7f828eb588a6</vt:lpwstr>
  </property>
  <property fmtid="{D5CDD505-2E9C-101B-9397-08002B2CF9AE}" pid="8" name="MSIP_Label_06c24981-b6df-48f8-949b-0896357b9b03_ContentBits">
    <vt:lpwstr>0</vt:lpwstr>
  </property>
</Properties>
</file>